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1" w:rsidRDefault="00EF5A3D" w:rsidP="00ED3FD1">
      <w:pPr>
        <w:rPr>
          <w:b/>
          <w:bCs/>
          <w:sz w:val="40"/>
        </w:rPr>
      </w:pPr>
      <w:r>
        <w:rPr>
          <w:b/>
          <w:bCs/>
          <w:noProof/>
          <w:sz w:val="40"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-800100</wp:posOffset>
            </wp:positionV>
            <wp:extent cx="1206500" cy="1270000"/>
            <wp:effectExtent l="19050" t="0" r="0" b="0"/>
            <wp:wrapThrough wrapText="bothSides">
              <wp:wrapPolygon edited="0">
                <wp:start x="-341" y="0"/>
                <wp:lineTo x="-341" y="21384"/>
                <wp:lineTo x="21486" y="21384"/>
                <wp:lineTo x="21486" y="0"/>
                <wp:lineTo x="-341" y="0"/>
              </wp:wrapPolygon>
            </wp:wrapThrough>
            <wp:docPr id="3" name="Imagen 2" descr="SZNTLA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ZNTLA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D1" w:rsidRDefault="00ED3FD1" w:rsidP="00ED3FD1">
      <w:pPr>
        <w:pStyle w:val="Ttulo1"/>
      </w:pPr>
    </w:p>
    <w:p w:rsidR="00ED3FD1" w:rsidRPr="003C6E9C" w:rsidRDefault="00ED3FD1" w:rsidP="00ED3FD1">
      <w:pPr>
        <w:pStyle w:val="Ttulo1"/>
        <w:jc w:val="center"/>
        <w:rPr>
          <w:i/>
          <w:iCs/>
          <w:sz w:val="52"/>
          <w:szCs w:val="52"/>
        </w:rPr>
      </w:pPr>
      <w:r w:rsidRPr="003C6E9C">
        <w:rPr>
          <w:i/>
          <w:iCs/>
          <w:sz w:val="52"/>
          <w:szCs w:val="52"/>
        </w:rPr>
        <w:t>Colegio San Ladislao</w:t>
      </w:r>
    </w:p>
    <w:p w:rsidR="00ED3FD1" w:rsidRPr="009A09B3" w:rsidRDefault="00ED3FD1" w:rsidP="00ED3FD1">
      <w:pPr>
        <w:rPr>
          <w:rFonts w:ascii="Arial" w:hAnsi="Arial" w:cs="Arial"/>
        </w:rPr>
      </w:pPr>
    </w:p>
    <w:p w:rsidR="00ED3FD1" w:rsidRPr="009A09B3" w:rsidRDefault="00ED3FD1" w:rsidP="00ED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A09B3">
        <w:rPr>
          <w:rFonts w:ascii="Arial" w:hAnsi="Arial" w:cs="Arial"/>
          <w:b/>
        </w:rPr>
        <w:t>Programa Anual 201</w:t>
      </w:r>
      <w:r w:rsidR="003662C5">
        <w:rPr>
          <w:rFonts w:ascii="Arial" w:hAnsi="Arial" w:cs="Arial"/>
          <w:b/>
        </w:rPr>
        <w:t>8</w:t>
      </w:r>
    </w:p>
    <w:p w:rsidR="00ED3FD1" w:rsidRDefault="00ED3FD1" w:rsidP="00ED3FD1"/>
    <w:p w:rsidR="00ED3FD1" w:rsidRPr="00846EA7" w:rsidRDefault="00ED3FD1" w:rsidP="00ED3FD1">
      <w:pPr>
        <w:rPr>
          <w:b/>
        </w:rPr>
      </w:pPr>
    </w:p>
    <w:p w:rsidR="00ED3FD1" w:rsidRPr="00846EA7" w:rsidRDefault="00ED3FD1" w:rsidP="00ED3FD1">
      <w:pPr>
        <w:rPr>
          <w:rFonts w:ascii="Arial" w:hAnsi="Arial" w:cs="Arial"/>
          <w:b/>
        </w:rPr>
      </w:pPr>
      <w:r w:rsidRPr="00123A2D">
        <w:rPr>
          <w:rFonts w:ascii="Arial" w:hAnsi="Arial" w:cs="Arial"/>
          <w:b/>
          <w:u w:val="single"/>
        </w:rPr>
        <w:t>Profesor:</w:t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123A2D">
        <w:rPr>
          <w:rFonts w:ascii="Arial" w:hAnsi="Arial" w:cs="Arial"/>
          <w:b/>
          <w:u w:val="single"/>
        </w:rPr>
        <w:t>Asignatura:</w:t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846EA7">
        <w:rPr>
          <w:rFonts w:ascii="Arial" w:hAnsi="Arial" w:cs="Arial"/>
          <w:b/>
        </w:rPr>
        <w:tab/>
      </w:r>
      <w:r w:rsidRPr="00123A2D">
        <w:rPr>
          <w:rFonts w:ascii="Arial" w:hAnsi="Arial" w:cs="Arial"/>
          <w:b/>
          <w:sz w:val="28"/>
          <w:u w:val="single"/>
        </w:rPr>
        <w:t>Curso:</w:t>
      </w:r>
    </w:p>
    <w:p w:rsidR="00ED3FD1" w:rsidRPr="00846EA7" w:rsidRDefault="00ED3FD1" w:rsidP="00ED3FD1">
      <w:pPr>
        <w:rPr>
          <w:rFonts w:ascii="Arial" w:hAnsi="Arial" w:cs="Arial"/>
          <w:b/>
        </w:rPr>
      </w:pPr>
      <w:r w:rsidRPr="00846EA7">
        <w:rPr>
          <w:rFonts w:ascii="Arial" w:hAnsi="Arial" w:cs="Arial"/>
          <w:b/>
        </w:rPr>
        <w:t>Nora Guarag</w:t>
      </w:r>
      <w:r>
        <w:rPr>
          <w:rFonts w:ascii="Arial" w:hAnsi="Arial" w:cs="Arial"/>
          <w:b/>
        </w:rPr>
        <w:t>lia                     Salu</w:t>
      </w:r>
      <w:r w:rsidR="00EF5A3D">
        <w:rPr>
          <w:rFonts w:ascii="Arial" w:hAnsi="Arial" w:cs="Arial"/>
          <w:b/>
        </w:rPr>
        <w:t xml:space="preserve">d y Adolescencia               </w:t>
      </w:r>
      <w:r w:rsidRPr="00846EA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4t</w:t>
      </w:r>
      <w:r w:rsidR="003662C5">
        <w:rPr>
          <w:rFonts w:ascii="Arial" w:hAnsi="Arial" w:cs="Arial"/>
          <w:b/>
        </w:rPr>
        <w:t>o. A</w:t>
      </w:r>
      <w:r w:rsidR="00EF5A3D">
        <w:rPr>
          <w:rFonts w:ascii="Arial" w:hAnsi="Arial" w:cs="Arial"/>
          <w:b/>
        </w:rPr>
        <w:t xml:space="preserve"> </w:t>
      </w:r>
      <w:r w:rsidR="003662C5">
        <w:rPr>
          <w:rFonts w:ascii="Arial" w:hAnsi="Arial" w:cs="Arial"/>
          <w:b/>
        </w:rPr>
        <w:t>y</w:t>
      </w:r>
      <w:r w:rsidR="00EF5A3D">
        <w:rPr>
          <w:rFonts w:ascii="Arial" w:hAnsi="Arial" w:cs="Arial"/>
          <w:b/>
        </w:rPr>
        <w:t xml:space="preserve"> </w:t>
      </w:r>
      <w:r w:rsidR="003662C5">
        <w:rPr>
          <w:rFonts w:ascii="Arial" w:hAnsi="Arial" w:cs="Arial"/>
          <w:b/>
        </w:rPr>
        <w:t>B S.S.</w:t>
      </w:r>
    </w:p>
    <w:p w:rsidR="00ED3FD1" w:rsidRPr="00846EA7" w:rsidRDefault="00ED3FD1" w:rsidP="00ED3FD1">
      <w:pPr>
        <w:rPr>
          <w:rFonts w:ascii="Arial" w:hAnsi="Arial" w:cs="Arial"/>
          <w:b/>
        </w:rPr>
      </w:pPr>
    </w:p>
    <w:p w:rsidR="00ED3FD1" w:rsidRDefault="00ED3FD1" w:rsidP="00ED3FD1">
      <w:pPr>
        <w:rPr>
          <w:rFonts w:ascii="Arial" w:hAnsi="Arial" w:cs="Arial"/>
        </w:rPr>
      </w:pPr>
    </w:p>
    <w:p w:rsidR="00ED3FD1" w:rsidRPr="00383215" w:rsidRDefault="00ED3FD1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  <w:r>
        <w:rPr>
          <w:rFonts w:ascii="Verdana" w:hAnsi="Verdana"/>
          <w:b/>
          <w:bCs/>
          <w:sz w:val="20"/>
          <w:szCs w:val="20"/>
          <w:u w:val="single"/>
          <w:lang w:val="es-ES_tradnl"/>
        </w:rPr>
        <w:t>Expectativas de Logro</w:t>
      </w:r>
      <w:r w:rsidRPr="00383215">
        <w:rPr>
          <w:rFonts w:ascii="Verdana" w:hAnsi="Verdana"/>
          <w:b/>
          <w:bCs/>
          <w:sz w:val="20"/>
          <w:szCs w:val="20"/>
          <w:u w:val="single"/>
          <w:lang w:val="es-ES_tradnl"/>
        </w:rPr>
        <w:t xml:space="preserve"> / Objetivos de Aprendizaje:</w:t>
      </w:r>
    </w:p>
    <w:p w:rsidR="00ED3FD1" w:rsidRDefault="00ED3FD1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</w:p>
    <w:p w:rsidR="00ED3FD1" w:rsidRPr="00383215" w:rsidRDefault="00ED3FD1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  <w:r w:rsidRPr="00383215">
        <w:rPr>
          <w:rFonts w:ascii="Verdana" w:hAnsi="Verdana"/>
          <w:b/>
          <w:bCs/>
          <w:sz w:val="20"/>
          <w:szCs w:val="20"/>
          <w:u w:val="single"/>
          <w:lang w:val="es-ES_tradnl"/>
        </w:rPr>
        <w:t>Que los alumnos:</w:t>
      </w:r>
    </w:p>
    <w:p w:rsidR="00ED3FD1" w:rsidRPr="00383215" w:rsidRDefault="00ED3FD1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</w:p>
    <w:p w:rsidR="00ED3FD1" w:rsidRPr="00383215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383215">
        <w:rPr>
          <w:rFonts w:ascii="Verdana" w:hAnsi="Verdana" w:cs="Arial"/>
          <w:b/>
          <w:color w:val="000000"/>
          <w:sz w:val="20"/>
          <w:szCs w:val="20"/>
        </w:rPr>
        <w:t>Conceptualicen críticamente la salud y los procesos de salud/enfermedad, como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383215">
        <w:rPr>
          <w:rFonts w:ascii="Verdana" w:hAnsi="Verdana" w:cs="Arial"/>
          <w:b/>
          <w:color w:val="000000"/>
          <w:sz w:val="20"/>
          <w:szCs w:val="20"/>
        </w:rPr>
        <w:t>productos sociales, históricos y culturales.</w:t>
      </w:r>
    </w:p>
    <w:p w:rsidR="00ED3FD1" w:rsidRPr="00383215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383215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383215">
        <w:rPr>
          <w:rFonts w:ascii="Verdana" w:hAnsi="Verdana" w:cs="Arial"/>
          <w:b/>
          <w:color w:val="000000"/>
          <w:sz w:val="20"/>
          <w:szCs w:val="20"/>
        </w:rPr>
        <w:t>Piensen y analicen la adolescencia como una construcción social e histórica con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383215">
        <w:rPr>
          <w:rFonts w:ascii="Verdana" w:hAnsi="Verdana" w:cs="Arial"/>
          <w:b/>
          <w:color w:val="000000"/>
          <w:sz w:val="20"/>
          <w:szCs w:val="20"/>
        </w:rPr>
        <w:t>diferentes características según la cultura, el contexto histórico y el contexto socio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383215">
        <w:rPr>
          <w:rFonts w:ascii="Verdana" w:hAnsi="Verdana" w:cs="Arial"/>
          <w:b/>
          <w:color w:val="000000"/>
          <w:sz w:val="20"/>
          <w:szCs w:val="20"/>
        </w:rPr>
        <w:t>económico, y en ese sentido puedan reflexionar y repensar sus propias adolescencias.</w:t>
      </w:r>
    </w:p>
    <w:p w:rsidR="00ED3FD1" w:rsidRPr="00383215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383215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383215">
        <w:rPr>
          <w:rFonts w:ascii="Verdana" w:hAnsi="Verdana" w:cs="Arial"/>
          <w:b/>
          <w:color w:val="000000"/>
          <w:sz w:val="20"/>
          <w:szCs w:val="20"/>
        </w:rPr>
        <w:t>Reconozcan la relación entre salud y problemáticas sociales.</w:t>
      </w:r>
    </w:p>
    <w:p w:rsidR="00ED3FD1" w:rsidRPr="00383215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383215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383215">
        <w:rPr>
          <w:rFonts w:ascii="Verdana" w:hAnsi="Verdana" w:cs="Arial"/>
          <w:b/>
          <w:color w:val="000000"/>
          <w:sz w:val="20"/>
          <w:szCs w:val="20"/>
        </w:rPr>
        <w:t>Analicen críticamente las situaciones de salud/enfermedad que los implican o los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383215">
        <w:rPr>
          <w:rFonts w:ascii="Verdana" w:hAnsi="Verdana" w:cs="Arial"/>
          <w:b/>
          <w:color w:val="000000"/>
          <w:sz w:val="20"/>
          <w:szCs w:val="20"/>
        </w:rPr>
        <w:t>interpelan en tanto jóvenes y/o adolescentes, y en tanto parte de grupos sociales.</w:t>
      </w:r>
    </w:p>
    <w:p w:rsidR="00ED3FD1" w:rsidRPr="00383215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383215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383215">
        <w:rPr>
          <w:rFonts w:ascii="Verdana" w:hAnsi="Verdana" w:cs="Arial"/>
          <w:b/>
          <w:color w:val="000000"/>
          <w:sz w:val="20"/>
          <w:szCs w:val="20"/>
        </w:rPr>
        <w:t>Participen activa y responsablemente en la información y promoción de la salud y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383215">
        <w:rPr>
          <w:rFonts w:ascii="Verdana" w:hAnsi="Verdana" w:cs="Arial"/>
          <w:b/>
          <w:color w:val="000000"/>
          <w:sz w:val="20"/>
          <w:szCs w:val="20"/>
        </w:rPr>
        <w:t>en las decisiones que deban tomar en relación con su salud.</w:t>
      </w:r>
    </w:p>
    <w:p w:rsidR="00ED3FD1" w:rsidRPr="00383215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BA1E9C" w:rsidRDefault="00ED3FD1" w:rsidP="00ED3FD1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ED3FD1" w:rsidRPr="00BA1E9C" w:rsidRDefault="00ED3FD1" w:rsidP="00ED3FD1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BA1E9C">
        <w:rPr>
          <w:rFonts w:ascii="Verdana" w:hAnsi="Verdana" w:cs="Arial"/>
          <w:b/>
          <w:color w:val="000000"/>
          <w:sz w:val="20"/>
          <w:szCs w:val="20"/>
        </w:rPr>
        <w:t>Con</w:t>
      </w:r>
      <w:r w:rsidR="0087757D">
        <w:rPr>
          <w:rFonts w:ascii="Verdana" w:hAnsi="Verdana" w:cs="Arial"/>
          <w:b/>
          <w:color w:val="000000"/>
          <w:sz w:val="20"/>
          <w:szCs w:val="20"/>
        </w:rPr>
        <w:t>ozcan</w:t>
      </w:r>
      <w:r w:rsidRPr="00BA1E9C">
        <w:rPr>
          <w:rFonts w:ascii="Verdana" w:hAnsi="Verdana" w:cs="Arial"/>
          <w:b/>
          <w:color w:val="000000"/>
          <w:sz w:val="20"/>
          <w:szCs w:val="20"/>
        </w:rPr>
        <w:t xml:space="preserve"> la importancia de la sexual</w:t>
      </w:r>
      <w:r w:rsidR="0087757D">
        <w:rPr>
          <w:rFonts w:ascii="Verdana" w:hAnsi="Verdana" w:cs="Arial"/>
          <w:b/>
          <w:color w:val="000000"/>
          <w:sz w:val="20"/>
          <w:szCs w:val="20"/>
        </w:rPr>
        <w:t xml:space="preserve">idad en la adolescencia. Aprecien </w:t>
      </w:r>
      <w:r w:rsidRPr="00BA1E9C">
        <w:rPr>
          <w:rFonts w:ascii="Verdana" w:hAnsi="Verdana" w:cs="Arial"/>
          <w:b/>
          <w:color w:val="000000"/>
          <w:sz w:val="20"/>
          <w:szCs w:val="20"/>
        </w:rPr>
        <w:t>la necesidad de informar sobre la sexualidad para</w:t>
      </w:r>
      <w:r w:rsidR="0087757D">
        <w:rPr>
          <w:rFonts w:ascii="Verdana" w:hAnsi="Verdana" w:cs="Arial"/>
          <w:b/>
          <w:color w:val="000000"/>
          <w:sz w:val="20"/>
          <w:szCs w:val="20"/>
        </w:rPr>
        <w:t xml:space="preserve"> tener una vida plena. </w:t>
      </w:r>
      <w:r w:rsidR="004C45B5">
        <w:rPr>
          <w:rFonts w:ascii="Verdana" w:hAnsi="Verdana" w:cs="Arial"/>
          <w:b/>
          <w:color w:val="000000"/>
          <w:sz w:val="20"/>
          <w:szCs w:val="20"/>
        </w:rPr>
        <w:t>Reconozcan</w:t>
      </w:r>
      <w:r w:rsidRPr="00BA1E9C">
        <w:rPr>
          <w:rFonts w:ascii="Verdana" w:hAnsi="Verdana" w:cs="Arial"/>
          <w:b/>
          <w:color w:val="000000"/>
          <w:sz w:val="20"/>
          <w:szCs w:val="20"/>
        </w:rPr>
        <w:t xml:space="preserve"> que la identidad de género es una construcción social. Comprender  el c</w:t>
      </w:r>
      <w:r w:rsidR="0087757D">
        <w:rPr>
          <w:rFonts w:ascii="Verdana" w:hAnsi="Verdana" w:cs="Arial"/>
          <w:b/>
          <w:color w:val="000000"/>
          <w:sz w:val="20"/>
          <w:szCs w:val="20"/>
        </w:rPr>
        <w:t xml:space="preserve">oncepto de salud sexual. </w:t>
      </w:r>
      <w:r w:rsidR="004C45B5">
        <w:rPr>
          <w:rFonts w:ascii="Verdana" w:hAnsi="Verdana" w:cs="Arial"/>
          <w:b/>
          <w:color w:val="000000"/>
          <w:sz w:val="20"/>
          <w:szCs w:val="20"/>
        </w:rPr>
        <w:t>Conozcan</w:t>
      </w:r>
      <w:r w:rsidRPr="00BA1E9C">
        <w:rPr>
          <w:rFonts w:ascii="Verdana" w:hAnsi="Verdana" w:cs="Arial"/>
          <w:b/>
          <w:color w:val="000000"/>
          <w:sz w:val="20"/>
          <w:szCs w:val="20"/>
        </w:rPr>
        <w:t xml:space="preserve"> los derechos sexuales y reproductivos </w:t>
      </w:r>
      <w:r w:rsidR="0087757D">
        <w:rPr>
          <w:rFonts w:ascii="Verdana" w:hAnsi="Verdana" w:cs="Arial"/>
          <w:b/>
          <w:color w:val="000000"/>
          <w:sz w:val="20"/>
          <w:szCs w:val="20"/>
        </w:rPr>
        <w:t>y la ley que los ampara. Debatan y reflexionen</w:t>
      </w:r>
      <w:r w:rsidRPr="00BA1E9C">
        <w:rPr>
          <w:rFonts w:ascii="Verdana" w:hAnsi="Verdana" w:cs="Arial"/>
          <w:b/>
          <w:color w:val="000000"/>
          <w:sz w:val="20"/>
          <w:szCs w:val="20"/>
        </w:rPr>
        <w:t xml:space="preserve"> sobre los lineamientos curriculares del Programa de Educación Sexual Integral y su puesta en práctica en la escuela secundaria.</w:t>
      </w:r>
    </w:p>
    <w:p w:rsidR="00ED3FD1" w:rsidRPr="00BA1E9C" w:rsidRDefault="00ED3FD1" w:rsidP="00ED3FD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D3FD1" w:rsidRPr="00383215" w:rsidRDefault="00ED3FD1" w:rsidP="00ED3FD1">
      <w:pPr>
        <w:numPr>
          <w:ilvl w:val="0"/>
          <w:numId w:val="3"/>
        </w:numPr>
        <w:rPr>
          <w:rFonts w:ascii="Verdana" w:hAnsi="Verdana"/>
          <w:b/>
          <w:bCs/>
          <w:sz w:val="20"/>
          <w:szCs w:val="20"/>
          <w:lang w:val="es-ES_tradnl"/>
        </w:rPr>
      </w:pPr>
      <w:r w:rsidRPr="00383215">
        <w:rPr>
          <w:rFonts w:ascii="Verdana" w:hAnsi="Verdana"/>
          <w:b/>
          <w:bCs/>
          <w:sz w:val="20"/>
          <w:szCs w:val="20"/>
          <w:lang w:val="es-ES_tradnl"/>
        </w:rPr>
        <w:t>Ser hábiles en el uso de medios de investigación y la expresión de los conocimientos construidos.</w:t>
      </w:r>
    </w:p>
    <w:p w:rsidR="00ED3FD1" w:rsidRPr="00383215" w:rsidRDefault="00ED3FD1" w:rsidP="00ED3FD1">
      <w:pPr>
        <w:rPr>
          <w:rFonts w:ascii="Verdana" w:hAnsi="Verdana"/>
          <w:b/>
          <w:bCs/>
          <w:sz w:val="20"/>
          <w:szCs w:val="20"/>
          <w:lang w:val="es-ES_tradnl"/>
        </w:rPr>
      </w:pPr>
    </w:p>
    <w:p w:rsidR="00ED3FD1" w:rsidRPr="00383215" w:rsidRDefault="00ED3FD1" w:rsidP="00ED3FD1">
      <w:pPr>
        <w:numPr>
          <w:ilvl w:val="0"/>
          <w:numId w:val="3"/>
        </w:numPr>
        <w:rPr>
          <w:rFonts w:ascii="Verdana" w:hAnsi="Verdana"/>
          <w:b/>
          <w:bCs/>
          <w:sz w:val="20"/>
          <w:szCs w:val="20"/>
          <w:lang w:val="es-ES_tradnl"/>
        </w:rPr>
      </w:pPr>
      <w:r w:rsidRPr="00383215">
        <w:rPr>
          <w:rFonts w:ascii="Verdana" w:hAnsi="Verdana"/>
          <w:b/>
          <w:bCs/>
          <w:sz w:val="20"/>
          <w:szCs w:val="20"/>
          <w:lang w:val="es-ES_tradnl"/>
        </w:rPr>
        <w:t>Acrecentar el grado de autonomía en el estudio mediante la implementación de estrategias de aprendizaje que le permitan relacionar, comparar y jerarquizar conceptos</w:t>
      </w:r>
      <w:r>
        <w:rPr>
          <w:rFonts w:ascii="Verdana" w:hAnsi="Verdana"/>
          <w:b/>
          <w:bCs/>
          <w:sz w:val="20"/>
          <w:szCs w:val="20"/>
          <w:lang w:val="es-ES_tradnl"/>
        </w:rPr>
        <w:t>.</w:t>
      </w:r>
    </w:p>
    <w:p w:rsidR="00ED3FD1" w:rsidRPr="00383215" w:rsidRDefault="00ED3FD1" w:rsidP="00ED3FD1">
      <w:pPr>
        <w:rPr>
          <w:rFonts w:ascii="Verdana" w:hAnsi="Verdana"/>
          <w:bCs/>
          <w:sz w:val="20"/>
          <w:szCs w:val="20"/>
          <w:lang w:val="es-ES_tradnl"/>
        </w:rPr>
      </w:pPr>
    </w:p>
    <w:p w:rsidR="00ED3FD1" w:rsidRPr="00383215" w:rsidRDefault="00ED3FD1" w:rsidP="00ED3FD1">
      <w:pPr>
        <w:rPr>
          <w:rFonts w:ascii="Verdana" w:hAnsi="Verdana"/>
          <w:bCs/>
          <w:sz w:val="20"/>
          <w:szCs w:val="20"/>
          <w:lang w:val="es-ES_tradnl"/>
        </w:rPr>
      </w:pPr>
    </w:p>
    <w:p w:rsidR="00ED3FD1" w:rsidRPr="00383215" w:rsidRDefault="00ED3FD1" w:rsidP="00ED3FD1">
      <w:pPr>
        <w:rPr>
          <w:rFonts w:ascii="Verdana" w:hAnsi="Verdana"/>
          <w:bCs/>
          <w:sz w:val="20"/>
          <w:szCs w:val="20"/>
          <w:lang w:val="es-ES_tradnl"/>
        </w:rPr>
      </w:pPr>
    </w:p>
    <w:p w:rsidR="00ED3FD1" w:rsidRPr="003C6E9C" w:rsidRDefault="00ED3FD1" w:rsidP="00ED3FD1">
      <w:pPr>
        <w:rPr>
          <w:rFonts w:ascii="Verdana" w:hAnsi="Verdana"/>
          <w:b/>
          <w:bCs/>
          <w:u w:val="single"/>
          <w:lang w:val="es-ES_tradnl"/>
        </w:rPr>
      </w:pPr>
      <w:r w:rsidRPr="003C6E9C">
        <w:rPr>
          <w:rFonts w:ascii="Verdana" w:hAnsi="Verdana"/>
          <w:b/>
          <w:bCs/>
          <w:u w:val="single"/>
          <w:lang w:val="es-ES_tradnl"/>
        </w:rPr>
        <w:lastRenderedPageBreak/>
        <w:t>Contenidos Conceptuales:</w:t>
      </w:r>
    </w:p>
    <w:p w:rsidR="00027076" w:rsidRDefault="00027076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</w:p>
    <w:p w:rsidR="00027076" w:rsidRPr="00027076" w:rsidRDefault="00027076" w:rsidP="0002707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027076">
        <w:rPr>
          <w:b/>
          <w:bCs/>
          <w:color w:val="000000"/>
          <w:sz w:val="20"/>
          <w:szCs w:val="20"/>
          <w:u w:val="single"/>
        </w:rPr>
        <w:t>MÓDULO/PROBLEMA 1: Los jóvenes y los procesos de salud/enfermedad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¿Qué es ser joven y adolescente? La construcción social de la adolescencia y la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juventud. Las adolescencias en otras culturas. Adolescencias en diferentes contextos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históricos: en el siglo XIX, en el XX y a principios del XXI. Adolescencias en distintos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contextos socioeconómicos. ¿La adolescencia en riesgo?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Relaciones familiares. Amistad, amor, deseo. Crisis, rebeldía y diferencia. Los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consumos de los adolescentes. Placeres y gratificaciones.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Las denominadas “enfermedades juveniles”: su relación con el grupo cultural,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socioeconómico y etario.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Jóvenes, publicidad y salud: cómo se relacionan. Influencia de la publicidad y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los medios masivos en las elecciones juveniles respecto de prácticas saludables.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Información y promoción de la salud respecto del uso y abuso de sustancias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psicoactivas: alcohol, tabaquismo, psicofármacos, etc. Importancia del diagnóstico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precoz y tratamiento inmediato. Su incidencia en el proyecto de vida.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27076" w:rsidRPr="00027076" w:rsidRDefault="00027076" w:rsidP="0002707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027076">
        <w:rPr>
          <w:b/>
          <w:bCs/>
          <w:color w:val="000000"/>
          <w:sz w:val="20"/>
          <w:szCs w:val="20"/>
          <w:u w:val="single"/>
        </w:rPr>
        <w:t>MÓDULO/PROBLEMA 2: La definición actual de Salud/enfermedad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Conceptos de Salud/enfermedad: ¿qué elementos atraviesan estas definiciones?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(sociales, culturales, económicos, históricos, políticos, etc.) Complejidad de la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delimitación respecto de lo “sano/normal” y lo “enfermo/patológico”.2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Definiciones de salud: acordadas internacionalmente (conceptos de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Salud/enfermedad de la OMS y OPS), modelo médico hegemónico, medicina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tradicional y medicina popular.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Definición de “grupos de riesgo”. La situación de salud de los conjuntos sociales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según condiciones de vida: Factores de riesgo. Riesgos individuales y grupales,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ambientales y ocupacionales.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Concepto de prevención y niveles de prevención primario, secundario y terciario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para la atención integral de la salud.</w:t>
      </w:r>
    </w:p>
    <w:p w:rsid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Conceptos de promoción, prevención, diagnóstico y tratamiento de la</w:t>
      </w:r>
      <w:r w:rsidR="003C6E9C">
        <w:rPr>
          <w:color w:val="000000"/>
          <w:sz w:val="20"/>
          <w:szCs w:val="20"/>
        </w:rPr>
        <w:t xml:space="preserve"> salud/enfermedad.</w:t>
      </w:r>
    </w:p>
    <w:p w:rsidR="003C6E9C" w:rsidRPr="00027076" w:rsidRDefault="003C6E9C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27076" w:rsidRPr="00027076" w:rsidRDefault="00027076" w:rsidP="00027076">
      <w:pPr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  <w:r w:rsidRPr="00027076">
        <w:rPr>
          <w:b/>
          <w:bCs/>
          <w:color w:val="000000"/>
          <w:sz w:val="20"/>
          <w:szCs w:val="20"/>
          <w:u w:val="single"/>
        </w:rPr>
        <w:t xml:space="preserve">MÓDULO/PROBLEMA 3: </w:t>
      </w:r>
      <w:r w:rsidRPr="00027076">
        <w:rPr>
          <w:b/>
          <w:color w:val="000000"/>
          <w:sz w:val="20"/>
          <w:szCs w:val="20"/>
          <w:u w:val="single"/>
        </w:rPr>
        <w:t>La Educación Sexual integral.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Adolescencia, sexualidad y derecho: los derechos sexuales y reproductivos.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La educación sexual en la garantía de ejercicios de los derechos humanos: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derecho a la vida y a la salud; derecho a la autonomía personal; los derechos y las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propias convicciones morales y religiosas, la propia sexualidad como derecho y su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relación con la sexualidad de los otros. Derecho a la libertad de elección. La discusión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sobre derechos, responsabilidades, respeto y límites.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Derecho a la información sobre el propio cuerpo, sobre los modos de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protegerlo, sobre los modos de acceder a una sexualidad plena y placentera, sobre los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modos de buscar protección y asistencia cuando se está en riesgo o cuando los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derechos de las personas están siendo vulnerados.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Ley Nacional de Salud Sexual y Procreación responsable. Relaciones de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género. Información y Promoción de la salud para las enfermedades de transmisión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sexual.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27076" w:rsidRPr="00027076" w:rsidRDefault="00027076" w:rsidP="0002707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027076">
        <w:rPr>
          <w:b/>
          <w:bCs/>
          <w:color w:val="000000"/>
          <w:sz w:val="20"/>
          <w:szCs w:val="20"/>
          <w:u w:val="single"/>
        </w:rPr>
        <w:t>MÓDULO/PROBLEMA 4: El derecho a la salud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Los jóvenes y el derecho a la salud: convenciones y leyes específicas que lo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encuadran.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El derecho a la salud: la relación entre salud y desarrollo social. Desarrollo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histórico de la salud pública y comunitaria, sus objetivos y campos de acción. El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acceso al sistema de salud pública.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Rol del estado en la atención de la salud. Sistema Sanitario Argentino: conceptos,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componentes, programas y proyectos para la atención de la salud. Articulación de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atención a la salud en distintos niveles jurisdiccionales: nivel Nacional, Provincial y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Municipal. Identificación de organizaciones en estos niveles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La articulación intersectorial para la atención de la salud: Organizaciones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gubernamentales y no gubernamentales. Las redes locales.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>• Patologías Prevalentes Regionales y Locales: principales problemas de salud que</w:t>
      </w:r>
      <w:r w:rsidR="003C6E9C">
        <w:rPr>
          <w:color w:val="000000"/>
          <w:sz w:val="20"/>
          <w:szCs w:val="20"/>
        </w:rPr>
        <w:t xml:space="preserve"> se</w:t>
      </w:r>
    </w:p>
    <w:p w:rsidR="00027076" w:rsidRPr="00027076" w:rsidRDefault="00027076" w:rsidP="0002707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27076">
        <w:rPr>
          <w:color w:val="000000"/>
          <w:sz w:val="20"/>
          <w:szCs w:val="20"/>
        </w:rPr>
        <w:t xml:space="preserve"> registran en el ámbito local. Búsqueda y análisis de la información disponible sobre</w:t>
      </w:r>
      <w:r w:rsidR="003C6E9C">
        <w:rPr>
          <w:color w:val="000000"/>
          <w:sz w:val="20"/>
          <w:szCs w:val="20"/>
        </w:rPr>
        <w:t xml:space="preserve"> los mismos.</w:t>
      </w:r>
    </w:p>
    <w:p w:rsidR="003662C5" w:rsidRDefault="003662C5" w:rsidP="003662C5">
      <w:pPr>
        <w:rPr>
          <w:rFonts w:ascii="Verdana" w:hAnsi="Verdana"/>
          <w:b/>
          <w:bCs/>
          <w:sz w:val="22"/>
          <w:u w:val="single"/>
          <w:lang w:val="es-ES_tradnl"/>
        </w:rPr>
      </w:pPr>
      <w:r>
        <w:rPr>
          <w:rFonts w:ascii="Verdana" w:hAnsi="Verdana"/>
          <w:b/>
          <w:bCs/>
          <w:sz w:val="22"/>
          <w:u w:val="single"/>
          <w:lang w:val="es-ES_tradnl"/>
        </w:rPr>
        <w:lastRenderedPageBreak/>
        <w:t>CRITERIOS Y METODOLOGIA DE EVALUACION:</w:t>
      </w:r>
    </w:p>
    <w:p w:rsidR="003662C5" w:rsidRDefault="003662C5" w:rsidP="003662C5">
      <w:pPr>
        <w:rPr>
          <w:rFonts w:ascii="Verdana" w:hAnsi="Verdana"/>
          <w:b/>
          <w:bCs/>
          <w:sz w:val="22"/>
          <w:lang w:val="es-ES_tradnl"/>
        </w:rPr>
      </w:pPr>
    </w:p>
    <w:p w:rsidR="003662C5" w:rsidRPr="00F00DFF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Pruebas de respuesta múltiple, objetivas y semiobjetivas.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Exámenes orales.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Aprobación de trabajos prácticos.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Utilización de técnicas de estudio y vocabulario especifico.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Observación directa, participación, habilidad y destrezas en los diferentes trabajos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Actitudes personales.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Uso adecuado de las estrategias de aprendizaje planteadas.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Entrega puntual de los distintos trabajos solicitados.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Utilización de todos los recursos que aporta la Tecnología (Informatica, Internet, etc) para la presentación y exposición de trabajos elaborados grupal e individualmente.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Desarrollo de habilidades para la resolución de problemas.</w:t>
      </w:r>
    </w:p>
    <w:p w:rsidR="003662C5" w:rsidRDefault="003662C5" w:rsidP="003662C5">
      <w:pPr>
        <w:numPr>
          <w:ilvl w:val="0"/>
          <w:numId w:val="4"/>
        </w:numPr>
        <w:rPr>
          <w:rFonts w:ascii="Verdana" w:hAnsi="Verdana"/>
          <w:b/>
          <w:bCs/>
          <w:sz w:val="16"/>
          <w:lang w:val="es-ES_tradnl"/>
        </w:rPr>
      </w:pPr>
      <w:r>
        <w:rPr>
          <w:rFonts w:ascii="Verdana" w:hAnsi="Verdana"/>
          <w:b/>
          <w:bCs/>
          <w:sz w:val="16"/>
          <w:lang w:val="es-ES_tradnl"/>
        </w:rPr>
        <w:t>Presentación periódica de la carpeta de clase</w:t>
      </w:r>
    </w:p>
    <w:p w:rsidR="003662C5" w:rsidRDefault="003662C5" w:rsidP="003662C5">
      <w:pPr>
        <w:rPr>
          <w:rFonts w:ascii="Verdana" w:hAnsi="Verdana"/>
          <w:b/>
          <w:bCs/>
          <w:sz w:val="22"/>
          <w:lang w:val="es-ES_tradnl"/>
        </w:rPr>
      </w:pPr>
    </w:p>
    <w:p w:rsidR="003662C5" w:rsidRDefault="003662C5" w:rsidP="003662C5">
      <w:pPr>
        <w:rPr>
          <w:rFonts w:ascii="Verdana" w:hAnsi="Verdana"/>
          <w:b/>
          <w:bCs/>
          <w:sz w:val="22"/>
          <w:lang w:val="es-ES_tradnl"/>
        </w:rPr>
      </w:pPr>
    </w:p>
    <w:p w:rsidR="00ED3FD1" w:rsidRDefault="00ED3FD1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  <w:r w:rsidRPr="003C6E9C">
        <w:rPr>
          <w:rFonts w:ascii="Verdana" w:hAnsi="Verdana"/>
          <w:b/>
          <w:bCs/>
          <w:sz w:val="20"/>
          <w:szCs w:val="20"/>
          <w:u w:val="single"/>
          <w:lang w:val="es-ES_tradnl"/>
        </w:rPr>
        <w:t>BIBLIOGRAFIA:</w:t>
      </w:r>
    </w:p>
    <w:p w:rsidR="003C6E9C" w:rsidRPr="003C6E9C" w:rsidRDefault="003C6E9C" w:rsidP="00ED3FD1">
      <w:pPr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</w:p>
    <w:p w:rsidR="00ED3FD1" w:rsidRPr="003662C5" w:rsidRDefault="00ED3FD1" w:rsidP="00ED3FD1">
      <w:pPr>
        <w:numPr>
          <w:ilvl w:val="0"/>
          <w:numId w:val="2"/>
        </w:numPr>
        <w:rPr>
          <w:rFonts w:ascii="Verdana" w:hAnsi="Verdana"/>
          <w:b/>
          <w:bCs/>
          <w:sz w:val="20"/>
          <w:szCs w:val="20"/>
          <w:lang w:val="es-ES_tradnl"/>
        </w:rPr>
      </w:pPr>
      <w:r w:rsidRPr="003662C5">
        <w:rPr>
          <w:rFonts w:ascii="Verdana" w:hAnsi="Verdana"/>
          <w:b/>
          <w:bCs/>
          <w:sz w:val="20"/>
          <w:szCs w:val="20"/>
          <w:lang w:val="es-ES_tradnl"/>
        </w:rPr>
        <w:t>Apuntes seleccionados por la docente.</w:t>
      </w:r>
    </w:p>
    <w:p w:rsidR="00ED3FD1" w:rsidRPr="003662C5" w:rsidRDefault="00ED3FD1" w:rsidP="00ED3FD1">
      <w:pPr>
        <w:numPr>
          <w:ilvl w:val="0"/>
          <w:numId w:val="2"/>
        </w:numPr>
        <w:rPr>
          <w:rFonts w:ascii="Verdana" w:hAnsi="Verdana"/>
          <w:b/>
          <w:bCs/>
          <w:sz w:val="20"/>
          <w:szCs w:val="20"/>
          <w:lang w:val="es-ES_tradnl"/>
        </w:rPr>
      </w:pPr>
      <w:r w:rsidRPr="003662C5">
        <w:rPr>
          <w:rFonts w:ascii="Verdana" w:hAnsi="Verdana"/>
          <w:b/>
          <w:bCs/>
          <w:sz w:val="20"/>
          <w:szCs w:val="20"/>
          <w:lang w:val="es-ES_tradnl"/>
        </w:rPr>
        <w:t>Artículos de divulgación científica.</w:t>
      </w:r>
    </w:p>
    <w:p w:rsidR="00ED3FD1" w:rsidRPr="003662C5" w:rsidRDefault="00ED3FD1" w:rsidP="00ED3FD1">
      <w:pPr>
        <w:rPr>
          <w:rFonts w:ascii="Verdana" w:hAnsi="Verdana"/>
          <w:b/>
          <w:bCs/>
          <w:sz w:val="20"/>
          <w:szCs w:val="20"/>
          <w:lang w:val="es-ES_tradnl"/>
        </w:rPr>
      </w:pPr>
    </w:p>
    <w:p w:rsidR="00ED3FD1" w:rsidRPr="003662C5" w:rsidRDefault="00ED3FD1" w:rsidP="00ED3FD1">
      <w:pPr>
        <w:rPr>
          <w:rFonts w:ascii="Verdana" w:hAnsi="Verdana"/>
          <w:b/>
          <w:bCs/>
          <w:sz w:val="20"/>
          <w:szCs w:val="20"/>
          <w:lang w:val="es-ES_tradnl"/>
        </w:rPr>
      </w:pPr>
    </w:p>
    <w:p w:rsidR="00ED3FD1" w:rsidRPr="00C8183B" w:rsidRDefault="00ED3FD1" w:rsidP="00ED3FD1">
      <w:pPr>
        <w:rPr>
          <w:rFonts w:ascii="Verdana" w:hAnsi="Verdana"/>
          <w:b/>
          <w:bCs/>
          <w:lang w:val="es-ES_tradnl"/>
        </w:rPr>
      </w:pPr>
    </w:p>
    <w:p w:rsidR="00ED3FD1" w:rsidRPr="00C8183B" w:rsidRDefault="00ED3FD1" w:rsidP="00ED3FD1">
      <w:pPr>
        <w:rPr>
          <w:rFonts w:ascii="Verdana" w:hAnsi="Verdana"/>
          <w:b/>
          <w:bCs/>
          <w:lang w:val="es-ES_tradnl"/>
        </w:rPr>
      </w:pPr>
    </w:p>
    <w:p w:rsidR="00ED3FD1" w:rsidRDefault="00ED3FD1" w:rsidP="00ED3FD1">
      <w:pPr>
        <w:rPr>
          <w:b/>
          <w:u w:val="single"/>
        </w:rPr>
      </w:pPr>
      <w:r>
        <w:rPr>
          <w:b/>
          <w:u w:val="single"/>
        </w:rPr>
        <w:t>IMPORTANTE:</w:t>
      </w:r>
    </w:p>
    <w:p w:rsidR="00ED3FD1" w:rsidRDefault="00ED3FD1" w:rsidP="00ED3FD1">
      <w:pPr>
        <w:rPr>
          <w:b/>
          <w:u w:val="single"/>
        </w:rPr>
      </w:pPr>
    </w:p>
    <w:p w:rsidR="00ED3FD1" w:rsidRDefault="00ED3FD1" w:rsidP="00ED3FD1">
      <w:pPr>
        <w:rPr>
          <w:b/>
        </w:rPr>
      </w:pPr>
      <w:r>
        <w:rPr>
          <w:b/>
        </w:rPr>
        <w:t>Es imprescindible la confección de la carpeta de clase a lo largo del año, la misma es tenida en cuenta para armar la nota de desempeño de cada trimestre.</w:t>
      </w:r>
    </w:p>
    <w:p w:rsidR="00ED3FD1" w:rsidRDefault="00ED3FD1" w:rsidP="00ED3FD1">
      <w:pPr>
        <w:rPr>
          <w:b/>
        </w:rPr>
      </w:pPr>
      <w:r>
        <w:rPr>
          <w:b/>
        </w:rPr>
        <w:t>En el caso que el alumno debiera rendir la materia en mesas examinadoras, deberá presentarla como requisito indispensable.</w:t>
      </w:r>
    </w:p>
    <w:p w:rsidR="00ED3FD1" w:rsidRPr="00905E61" w:rsidRDefault="00ED3FD1" w:rsidP="00ED3FD1"/>
    <w:p w:rsidR="00ED3FD1" w:rsidRPr="0095777D" w:rsidRDefault="00ED3FD1" w:rsidP="00ED3FD1">
      <w:pPr>
        <w:rPr>
          <w:rFonts w:ascii="Verdana" w:hAnsi="Verdana"/>
          <w:b/>
          <w:bCs/>
          <w:sz w:val="16"/>
          <w:szCs w:val="16"/>
        </w:rPr>
      </w:pPr>
    </w:p>
    <w:p w:rsidR="00ED3FD1" w:rsidRDefault="00ED3FD1" w:rsidP="00ED3FD1">
      <w:pPr>
        <w:rPr>
          <w:rFonts w:ascii="Verdana" w:hAnsi="Verdana"/>
          <w:b/>
          <w:bCs/>
          <w:sz w:val="16"/>
          <w:szCs w:val="16"/>
          <w:lang w:val="es-ES_tradnl"/>
        </w:rPr>
      </w:pPr>
    </w:p>
    <w:p w:rsidR="00ED3FD1" w:rsidRDefault="00ED3FD1" w:rsidP="00ED3FD1">
      <w:pPr>
        <w:rPr>
          <w:rFonts w:ascii="Verdana" w:hAnsi="Verdana"/>
          <w:b/>
          <w:bCs/>
          <w:sz w:val="16"/>
          <w:szCs w:val="16"/>
          <w:lang w:val="es-ES_tradnl"/>
        </w:rPr>
      </w:pPr>
    </w:p>
    <w:p w:rsidR="00ED3FD1" w:rsidRPr="00846EA7" w:rsidRDefault="00ED3FD1" w:rsidP="00ED3FD1">
      <w:pPr>
        <w:rPr>
          <w:rFonts w:ascii="Arial" w:hAnsi="Arial" w:cs="Arial"/>
          <w:lang w:val="es-ES_tradnl"/>
        </w:rPr>
      </w:pPr>
    </w:p>
    <w:p w:rsidR="00ED3FD1" w:rsidRDefault="00ED3FD1" w:rsidP="00ED3FD1"/>
    <w:p w:rsidR="00ED3FD1" w:rsidRDefault="00ED3FD1" w:rsidP="00ED3FD1"/>
    <w:p w:rsidR="00A615C5" w:rsidRDefault="00A615C5"/>
    <w:sectPr w:rsidR="00A615C5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30" w:rsidRDefault="00CE4A30">
      <w:r>
        <w:separator/>
      </w:r>
    </w:p>
  </w:endnote>
  <w:endnote w:type="continuationSeparator" w:id="1">
    <w:p w:rsidR="00CE4A30" w:rsidRDefault="00CE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B5" w:rsidRDefault="004C45B5" w:rsidP="004C45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45B5" w:rsidRDefault="004C45B5" w:rsidP="004C45B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B5" w:rsidRDefault="004C45B5" w:rsidP="004C45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A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C45B5" w:rsidRDefault="004C45B5" w:rsidP="004C45B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30" w:rsidRDefault="00CE4A30">
      <w:r>
        <w:separator/>
      </w:r>
    </w:p>
  </w:footnote>
  <w:footnote w:type="continuationSeparator" w:id="1">
    <w:p w:rsidR="00CE4A30" w:rsidRDefault="00CE4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205"/>
    <w:multiLevelType w:val="hybridMultilevel"/>
    <w:tmpl w:val="DD70A9F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4ED7"/>
    <w:multiLevelType w:val="hybridMultilevel"/>
    <w:tmpl w:val="8BDE5598"/>
    <w:lvl w:ilvl="0" w:tplc="2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F59F5"/>
    <w:multiLevelType w:val="hybridMultilevel"/>
    <w:tmpl w:val="A1E200E6"/>
    <w:lvl w:ilvl="0" w:tplc="C804F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A55C1"/>
    <w:multiLevelType w:val="hybridMultilevel"/>
    <w:tmpl w:val="4D3C8550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FD1"/>
    <w:rsid w:val="0001418C"/>
    <w:rsid w:val="00027076"/>
    <w:rsid w:val="000321BC"/>
    <w:rsid w:val="00123A2D"/>
    <w:rsid w:val="003662C5"/>
    <w:rsid w:val="003C6E9C"/>
    <w:rsid w:val="004C45B5"/>
    <w:rsid w:val="005E32D0"/>
    <w:rsid w:val="00631776"/>
    <w:rsid w:val="00633555"/>
    <w:rsid w:val="0087757D"/>
    <w:rsid w:val="00997581"/>
    <w:rsid w:val="00A615C5"/>
    <w:rsid w:val="00BA316D"/>
    <w:rsid w:val="00CE4A30"/>
    <w:rsid w:val="00ED3FD1"/>
    <w:rsid w:val="00E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D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3FD1"/>
    <w:pPr>
      <w:keepNext/>
      <w:outlineLvl w:val="0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3FD1"/>
    <w:rPr>
      <w:rFonts w:ascii="Times New Roman" w:eastAsia="Times New Roman" w:hAnsi="Times New Roman" w:cs="Times New Roman"/>
      <w:b/>
      <w:bCs/>
      <w:sz w:val="40"/>
      <w:szCs w:val="24"/>
      <w:lang w:val="es-ES" w:eastAsia="es-ES"/>
    </w:rPr>
  </w:style>
  <w:style w:type="paragraph" w:styleId="Piedepgina">
    <w:name w:val="footer"/>
    <w:basedOn w:val="Normal"/>
    <w:link w:val="PiedepginaCar"/>
    <w:rsid w:val="00ED3F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3F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D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1E6C-AE6F-47A0-9420-C3D82D5C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Direccion</cp:lastModifiedBy>
  <cp:revision>2</cp:revision>
  <dcterms:created xsi:type="dcterms:W3CDTF">2018-05-22T16:22:00Z</dcterms:created>
  <dcterms:modified xsi:type="dcterms:W3CDTF">2018-05-22T16:22:00Z</dcterms:modified>
</cp:coreProperties>
</file>