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C76">
      <w:pPr>
        <w:widowControl/>
        <w:rPr>
          <w:rFonts w:cs="Times New Roman"/>
          <w:lang w:val="es-ES_tradnl"/>
        </w:rPr>
      </w:pPr>
      <w:bookmarkStart w:id="0" w:name="_GoBack"/>
      <w:bookmarkEnd w:id="0"/>
      <w:r>
        <w:rPr>
          <w:b/>
          <w:bCs/>
          <w:sz w:val="20"/>
          <w:szCs w:val="20"/>
          <w:lang w:val="es-ES_tradnl"/>
        </w:rPr>
        <w:t>COLEGIO SAN LADISLAO</w:t>
      </w:r>
    </w:p>
    <w:p w:rsidR="00000000" w:rsidRDefault="00ED2C76">
      <w:pPr>
        <w:widowControl/>
        <w:rPr>
          <w:rFonts w:cs="Times New Roman"/>
          <w:b/>
          <w:color w:val="7F7F7F"/>
          <w:sz w:val="32"/>
          <w:lang w:val="es-ES_tradnl"/>
        </w:rPr>
      </w:pPr>
      <w:r>
        <w:rPr>
          <w:rFonts w:cs="Times New Roman"/>
          <w:b/>
          <w:color w:val="7F7F7F"/>
          <w:sz w:val="32"/>
          <w:lang w:val="es-ES_tradnl"/>
        </w:rPr>
        <w:t>POLÍTICA Y CIUDADANÍA</w:t>
      </w:r>
    </w:p>
    <w:p w:rsidR="00000000" w:rsidRDefault="00ED2C76">
      <w:pPr>
        <w:widowControl/>
        <w:rPr>
          <w:rFonts w:cs="Times New Roman"/>
          <w:b/>
          <w:color w:val="7F7F7F"/>
          <w:sz w:val="28"/>
          <w:lang w:val="es-ES_tradnl"/>
        </w:rPr>
      </w:pPr>
      <w:r>
        <w:rPr>
          <w:rFonts w:cs="Times New Roman"/>
          <w:b/>
          <w:color w:val="7F7F7F"/>
          <w:sz w:val="28"/>
          <w:lang w:val="es-ES_tradnl"/>
        </w:rPr>
        <w:t>PROGRAMA ANUAL 2017</w:t>
      </w:r>
    </w:p>
    <w:p w:rsidR="00000000" w:rsidRDefault="00A77D59">
      <w:pPr>
        <w:widowControl/>
        <w:spacing w:after="20"/>
        <w:rPr>
          <w:rFonts w:cs="Times New Roman"/>
          <w:b/>
          <w:lang w:val="es-ES_tradnl"/>
        </w:rPr>
      </w:pPr>
      <w:r>
        <w:rPr>
          <w:rFonts w:cs="Times New Roman"/>
          <w:b/>
          <w:lang w:val="es-ES_tradnl"/>
        </w:rPr>
        <w:t xml:space="preserve">5º AÑO A  y 5 AÑO </w:t>
      </w:r>
      <w:r w:rsidR="00ED2C76">
        <w:rPr>
          <w:rFonts w:cs="Times New Roman"/>
          <w:b/>
          <w:lang w:val="es-ES_tradnl"/>
        </w:rPr>
        <w:t>B</w:t>
      </w:r>
    </w:p>
    <w:p w:rsidR="00000000" w:rsidRDefault="00ED2C76">
      <w:pPr>
        <w:widowControl/>
        <w:spacing w:after="20"/>
        <w:rPr>
          <w:rFonts w:cs="Times New Roman"/>
          <w:b/>
          <w:sz w:val="20"/>
          <w:lang w:val="es-ES_tradnl"/>
        </w:rPr>
      </w:pPr>
      <w:r>
        <w:rPr>
          <w:rFonts w:cs="Times New Roman"/>
          <w:b/>
          <w:sz w:val="20"/>
          <w:lang w:val="es-ES_tradnl"/>
        </w:rPr>
        <w:t>PROFESORA: LUCIANA PAZ VERA CELIZ</w:t>
      </w:r>
    </w:p>
    <w:p w:rsidR="00000000" w:rsidRDefault="00ED2C76">
      <w:pPr>
        <w:widowControl/>
        <w:spacing w:after="20"/>
        <w:rPr>
          <w:rFonts w:cs="Times New Roman"/>
          <w:b/>
          <w:sz w:val="20"/>
          <w:lang w:val="es-ES_tradnl"/>
        </w:rPr>
      </w:pPr>
    </w:p>
    <w:p w:rsidR="00000000" w:rsidRDefault="00ED2C76">
      <w:pPr>
        <w:widowControl/>
        <w:jc w:val="both"/>
        <w:rPr>
          <w:rFonts w:cs="Times New Roman"/>
          <w:b/>
          <w:lang w:val="es-ES_tradnl"/>
        </w:rPr>
      </w:pPr>
      <w:r>
        <w:rPr>
          <w:rFonts w:cs="Times New Roman"/>
          <w:b/>
          <w:lang w:val="es-ES_tradnl"/>
        </w:rPr>
        <w:t>Fundamentación y objetivos generales.</w:t>
      </w:r>
    </w:p>
    <w:p w:rsidR="00000000" w:rsidRDefault="00ED2C76">
      <w:pPr>
        <w:widowControl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El presente programa surge de la reflexión en torno a qué</w:t>
      </w:r>
      <w:r>
        <w:rPr>
          <w:rFonts w:cs="Times New Roman"/>
          <w:lang w:val="es-ES_tradnl"/>
        </w:rPr>
        <w:t xml:space="preserve"> rol cumple la escuela tradicionalmente y qué rol debería cumplir en cuanto a la construcción de la ciudadanía.</w:t>
      </w:r>
    </w:p>
    <w:p w:rsidR="00000000" w:rsidRDefault="00ED2C76">
      <w:pPr>
        <w:widowControl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Entendiendo la ciudadanía como un conjunto de prácticas y acciones orientadas a que las personas sean partes de una sociedad, la propuesta de es</w:t>
      </w:r>
      <w:r>
        <w:rPr>
          <w:rFonts w:cs="Times New Roman"/>
          <w:lang w:val="es-ES_tradnl"/>
        </w:rPr>
        <w:t xml:space="preserve">ta materia se dirige a trabajar sobre esa modalidad, principalmente a través del pensar y discutir en la escuela cómo participamos </w:t>
      </w:r>
      <w:r>
        <w:rPr>
          <w:rFonts w:cs="Times New Roman"/>
          <w:lang w:val="es-ES_tradnl"/>
        </w:rPr>
        <w:t>–</w:t>
      </w:r>
      <w:r>
        <w:rPr>
          <w:rFonts w:cs="Times New Roman"/>
          <w:lang w:val="es-ES_tradnl"/>
        </w:rPr>
        <w:t>políticamente- en todos los ámbitos de la vida.</w:t>
      </w:r>
    </w:p>
    <w:p w:rsidR="00000000" w:rsidRDefault="00ED2C76">
      <w:pPr>
        <w:widowControl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Si consideramos como elemento central del ejercicio de la ciudadanía el actu</w:t>
      </w:r>
      <w:r>
        <w:rPr>
          <w:rFonts w:cs="Times New Roman"/>
          <w:lang w:val="es-ES_tradnl"/>
        </w:rPr>
        <w:t>ar, aprovecharemos las diferentes clases para reflexionar y trabajar sobre esa acción, intentando constantemente contribuirle y fomentarla. De este modo, el aula será un espacio de trabajo principalmente intelectual, en el que el soporte material para dich</w:t>
      </w:r>
      <w:r>
        <w:rPr>
          <w:rFonts w:cs="Times New Roman"/>
          <w:lang w:val="es-ES_tradnl"/>
        </w:rPr>
        <w:t>o trabajo estará dado por las propias experiencias y saberes de los que participamos en ella en diálogo con las diferentes reflexiones de los autores qué en forma teórica ya abordaron las problemáticas con las que trabajaremos.</w:t>
      </w:r>
    </w:p>
    <w:p w:rsidR="00000000" w:rsidRDefault="00ED2C76">
      <w:pPr>
        <w:widowControl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Al atender a la ciudadanía d</w:t>
      </w:r>
      <w:r>
        <w:rPr>
          <w:rFonts w:cs="Times New Roman"/>
          <w:lang w:val="es-ES_tradnl"/>
        </w:rPr>
        <w:t xml:space="preserve">esde la acción y la participación, proponemos separarnos de la educación cívica como un listado de leyes, derechos y deberes, así como también de las visiones que homologan lo público a lo estatal, y consecuentemente proponen un estudio pormenorizado </w:t>
      </w:r>
      <w:proofErr w:type="gramStart"/>
      <w:r>
        <w:rPr>
          <w:rFonts w:cs="Times New Roman"/>
          <w:lang w:val="es-ES_tradnl"/>
        </w:rPr>
        <w:t>de</w:t>
      </w:r>
      <w:proofErr w:type="gramEnd"/>
      <w:r>
        <w:rPr>
          <w:rFonts w:cs="Times New Roman"/>
          <w:lang w:val="es-ES_tradnl"/>
        </w:rPr>
        <w:t xml:space="preserve"> la</w:t>
      </w:r>
      <w:r>
        <w:rPr>
          <w:rFonts w:cs="Times New Roman"/>
          <w:lang w:val="es-ES_tradnl"/>
        </w:rPr>
        <w:t>s dependencias y organigramas del aparato estatal, exaltando el ejercicio de la política desde un perspectiva exclusivamente profesional y partidaria. En este sentido, intentaremos desenrollar la trama en la que lo político se teje, e intentaremos pensar y</w:t>
      </w:r>
      <w:r>
        <w:rPr>
          <w:rFonts w:cs="Times New Roman"/>
          <w:lang w:val="es-ES_tradnl"/>
        </w:rPr>
        <w:t xml:space="preserve"> discutir sobre los límites tanto del Estado como de lo que vayamos definiendo como lo político.</w:t>
      </w:r>
    </w:p>
    <w:p w:rsidR="00000000" w:rsidRDefault="00ED2C76">
      <w:pPr>
        <w:widowControl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A su vez, priorizando la acción, intentaremos identificar el carácter conflictivo y cambiante de la ciudadanía, la política y la sociedad. De ese modo, descubr</w:t>
      </w:r>
      <w:r>
        <w:rPr>
          <w:rFonts w:cs="Times New Roman"/>
          <w:lang w:val="es-ES_tradnl"/>
        </w:rPr>
        <w:t>imos su situación histórica y cómo se desenvuelve en relación a luchas y disputas sociales anteriores, y cómo nuestras acciones y prácticas pueden ser el fundamento o nuevas prácticas políticas. En resumen: propondremos una apropiación teórica de conceptos</w:t>
      </w:r>
      <w:r>
        <w:rPr>
          <w:rFonts w:cs="Times New Roman"/>
          <w:lang w:val="es-ES_tradnl"/>
        </w:rPr>
        <w:t>, un diagnóstico, y una mirada crítica a la sociedad, y pensaremos formas de acción orientadas a la participación política y ciudadana en el marco de la sociedad en la que nos desarrollamos.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b/>
          <w:lang w:val="es-ES_tradnl"/>
        </w:rPr>
      </w:pPr>
      <w:r>
        <w:rPr>
          <w:rFonts w:cs="Times New Roman"/>
          <w:b/>
          <w:lang w:val="es-ES_tradnl"/>
        </w:rPr>
        <w:t>Objetivos de aprendizaje.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b/>
          <w:lang w:val="es-ES_tradnl"/>
        </w:rPr>
      </w:pP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>Los siguientes objetivos tienen un ca</w:t>
      </w:r>
      <w:r>
        <w:rPr>
          <w:rFonts w:cs="Times New Roman"/>
          <w:lang w:val="es-ES_tradnl"/>
        </w:rPr>
        <w:t>rácter consecutivo y progresivo: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i. </w:t>
      </w:r>
      <w:r>
        <w:rPr>
          <w:rFonts w:cs="Times New Roman"/>
          <w:lang w:val="es-ES_tradnl"/>
        </w:rPr>
        <w:tab/>
        <w:t>Que los estudiantes indaguen en sus propios saberes, ideas, conceptos, prejuicios, complejos, etc. respecto a la política.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proofErr w:type="spellStart"/>
      <w:r>
        <w:rPr>
          <w:rFonts w:cs="Times New Roman"/>
          <w:lang w:val="es-ES_tradnl"/>
        </w:rPr>
        <w:t>ii</w:t>
      </w:r>
      <w:proofErr w:type="spellEnd"/>
      <w:r>
        <w:rPr>
          <w:rFonts w:cs="Times New Roman"/>
          <w:lang w:val="es-ES_tradnl"/>
        </w:rPr>
        <w:t xml:space="preserve">. </w:t>
      </w:r>
      <w:r>
        <w:rPr>
          <w:rFonts w:cs="Times New Roman"/>
          <w:lang w:val="es-ES_tradnl"/>
        </w:rPr>
        <w:tab/>
        <w:t>Que identifiquen lo política y lo político en la vida cotidiana.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proofErr w:type="spellStart"/>
      <w:r>
        <w:rPr>
          <w:rFonts w:cs="Times New Roman"/>
          <w:lang w:val="es-ES_tradnl"/>
        </w:rPr>
        <w:t>iii</w:t>
      </w:r>
      <w:proofErr w:type="spellEnd"/>
      <w:r>
        <w:rPr>
          <w:rFonts w:cs="Times New Roman"/>
          <w:lang w:val="es-ES_tradnl"/>
        </w:rPr>
        <w:t xml:space="preserve">. </w:t>
      </w:r>
      <w:r>
        <w:rPr>
          <w:rFonts w:cs="Times New Roman"/>
          <w:lang w:val="es-ES_tradnl"/>
        </w:rPr>
        <w:tab/>
        <w:t>Que vayan adquiriend</w:t>
      </w:r>
      <w:r>
        <w:rPr>
          <w:rFonts w:cs="Times New Roman"/>
          <w:lang w:val="es-ES_tradnl"/>
        </w:rPr>
        <w:t>o elementos teóricos, históricamente situados, respecto a cómo se ha entendido la política de modo de complejizar su propia mirada respecto a la política y los procesos sociales y políticos de la vida social.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proofErr w:type="spellStart"/>
      <w:r>
        <w:rPr>
          <w:rFonts w:cs="Times New Roman"/>
          <w:lang w:val="es-ES_tradnl"/>
        </w:rPr>
        <w:t>iv</w:t>
      </w:r>
      <w:proofErr w:type="spellEnd"/>
      <w:r>
        <w:rPr>
          <w:rFonts w:cs="Times New Roman"/>
          <w:lang w:val="es-ES_tradnl"/>
        </w:rPr>
        <w:t>.</w:t>
      </w:r>
      <w:r>
        <w:rPr>
          <w:rFonts w:cs="Times New Roman"/>
          <w:lang w:val="es-ES_tradnl"/>
        </w:rPr>
        <w:tab/>
        <w:t>Que observen y analicen diferentes procesos</w:t>
      </w:r>
      <w:r>
        <w:rPr>
          <w:rFonts w:cs="Times New Roman"/>
          <w:lang w:val="es-ES_tradnl"/>
        </w:rPr>
        <w:t xml:space="preserve"> sociales a través de los debates propios y en relación a los elementos de análisis </w:t>
      </w:r>
      <w:proofErr w:type="gramStart"/>
      <w:r>
        <w:rPr>
          <w:rFonts w:cs="Times New Roman"/>
          <w:lang w:val="es-ES_tradnl"/>
        </w:rPr>
        <w:t>teórico abordados</w:t>
      </w:r>
      <w:proofErr w:type="gramEnd"/>
      <w:r>
        <w:rPr>
          <w:rFonts w:cs="Times New Roman"/>
          <w:lang w:val="es-ES_tradnl"/>
        </w:rPr>
        <w:t>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t xml:space="preserve">v. </w:t>
      </w:r>
      <w:r>
        <w:rPr>
          <w:rFonts w:cs="Times New Roman"/>
          <w:lang w:val="es-ES_tradnl"/>
        </w:rPr>
        <w:tab/>
        <w:t>Que identifiquen e interioricen las reglas propias del sistema político argentino e internacional, así como sus instituciones más</w:t>
      </w:r>
      <w:r w:rsidR="00A77D59">
        <w:rPr>
          <w:rFonts w:cs="Times New Roman"/>
          <w:lang w:val="es-ES_tradnl"/>
        </w:rPr>
        <w:t xml:space="preserve"> </w:t>
      </w:r>
      <w:r>
        <w:rPr>
          <w:rFonts w:cs="Times New Roman"/>
          <w:lang w:val="es-ES_tradnl"/>
        </w:rPr>
        <w:t>representativas y su</w:t>
      </w:r>
      <w:r>
        <w:rPr>
          <w:rFonts w:cs="Times New Roman"/>
          <w:lang w:val="es-ES_tradnl"/>
        </w:rPr>
        <w:t>s actores sociales más importantes.</w:t>
      </w:r>
    </w:p>
    <w:p w:rsidR="00000000" w:rsidRDefault="00ED2C76">
      <w:pPr>
        <w:widowControl/>
        <w:spacing w:after="20"/>
        <w:ind w:left="282" w:hanging="282"/>
        <w:jc w:val="both"/>
        <w:rPr>
          <w:rFonts w:cs="Times New Roman"/>
          <w:lang w:val="es-ES_tradnl"/>
        </w:rPr>
      </w:pPr>
      <w:r>
        <w:rPr>
          <w:rFonts w:cs="Times New Roman"/>
          <w:lang w:val="es-ES_tradnl"/>
        </w:rPr>
        <w:lastRenderedPageBreak/>
        <w:t xml:space="preserve">vi. </w:t>
      </w:r>
      <w:r>
        <w:rPr>
          <w:rFonts w:cs="Times New Roman"/>
          <w:lang w:val="es-ES_tradnl"/>
        </w:rPr>
        <w:tab/>
        <w:t>Que en función de todo este trabajo logren reflexionar sobre su propio vínculo con la política, la ciudadanía en tanto forma de vida, y el ejercicio del poder.</w:t>
      </w:r>
    </w:p>
    <w:p w:rsidR="00000000" w:rsidRDefault="00ED2C76">
      <w:pPr>
        <w:pStyle w:val="Normal0"/>
        <w:widowControl/>
        <w:spacing w:after="20"/>
        <w:jc w:val="both"/>
        <w:rPr>
          <w:sz w:val="24"/>
          <w:szCs w:val="24"/>
          <w:lang w:val="es-ES_tradnl"/>
        </w:rPr>
      </w:pPr>
    </w:p>
    <w:p w:rsidR="00000000" w:rsidRDefault="00ED2C76">
      <w:pPr>
        <w:pStyle w:val="Normal0"/>
        <w:widowControl/>
        <w:spacing w:after="20"/>
        <w:jc w:val="both"/>
        <w:rPr>
          <w:sz w:val="24"/>
          <w:szCs w:val="24"/>
          <w:lang w:val="es-ES_tradnl"/>
        </w:rPr>
      </w:pPr>
    </w:p>
    <w:p w:rsidR="00000000" w:rsidRDefault="00ED2C76">
      <w:pPr>
        <w:pStyle w:val="Normal0"/>
        <w:widowControl/>
        <w:spacing w:after="20"/>
        <w:jc w:val="both"/>
        <w:rPr>
          <w:rFonts w:ascii="ATRotisSemiSans" w:hAnsi="ATRotisSemiSans"/>
          <w:b/>
          <w:szCs w:val="24"/>
          <w:lang w:val="es-AR"/>
        </w:rPr>
      </w:pPr>
      <w:r>
        <w:rPr>
          <w:rFonts w:ascii="ATRotisSemiSans" w:hAnsi="ATRotisSemiSans"/>
          <w:b/>
          <w:szCs w:val="24"/>
          <w:lang w:val="es-AR"/>
        </w:rPr>
        <w:t xml:space="preserve">Unidad 1: </w:t>
      </w:r>
      <w:r>
        <w:rPr>
          <w:rFonts w:ascii="ATRotisSemiSans" w:hAnsi="ATRotisSemiSans"/>
          <w:b/>
          <w:color w:val="808080"/>
          <w:szCs w:val="24"/>
          <w:lang w:val="es-AR"/>
        </w:rPr>
        <w:t>Política, Poder, Política y Poder.</w:t>
      </w:r>
      <w:r>
        <w:rPr>
          <w:rFonts w:ascii="ATRotisSemiSans" w:hAnsi="ATRotisSemiSans"/>
          <w:b/>
          <w:color w:val="808080"/>
          <w:szCs w:val="24"/>
          <w:lang w:val="es-ES_tradnl"/>
        </w:rPr>
        <w:t xml:space="preserve"> Gobierno</w:t>
      </w:r>
      <w:r>
        <w:rPr>
          <w:rFonts w:ascii="ATRotisSemiSans" w:hAnsi="ATRotisSemiSans"/>
          <w:b/>
          <w:color w:val="808080"/>
          <w:szCs w:val="24"/>
          <w:lang w:val="es-ES_tradnl"/>
        </w:rPr>
        <w:t xml:space="preserve"> en democracia</w:t>
      </w:r>
    </w:p>
    <w:p w:rsidR="00000000" w:rsidRDefault="00ED2C76">
      <w:pPr>
        <w:pStyle w:val="Prrafodelista"/>
        <w:widowControl/>
        <w:numPr>
          <w:ilvl w:val="0"/>
          <w:numId w:val="1"/>
        </w:numPr>
        <w:spacing w:after="40"/>
        <w:jc w:val="both"/>
        <w:rPr>
          <w:rFonts w:ascii="ATRotisSemiSans" w:hAnsi="ATRotisSemiSans"/>
          <w:b/>
          <w:color w:val="808080"/>
          <w:sz w:val="22"/>
          <w:lang w:val="es-ES_tradnl"/>
        </w:rPr>
      </w:pPr>
      <w:r>
        <w:rPr>
          <w:rFonts w:ascii="ATRotisSemiSans" w:hAnsi="ATRotisSemiSans"/>
          <w:sz w:val="22"/>
        </w:rPr>
        <w:t>¿Qué es la política y qué es lo político?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Default="00ED2C76">
      <w:pPr>
        <w:pStyle w:val="Normal0"/>
        <w:widowControl/>
        <w:jc w:val="both"/>
        <w:rPr>
          <w:rFonts w:ascii="ATRotisSemiSans" w:hAnsi="ATRotisSemiSans"/>
          <w:szCs w:val="24"/>
          <w:lang w:val="es-AR"/>
        </w:rPr>
      </w:pPr>
      <w:r>
        <w:rPr>
          <w:rFonts w:ascii="ATRotisSemiSans" w:hAnsi="ATRotisSemiSans"/>
          <w:szCs w:val="24"/>
          <w:lang w:val="es-AR"/>
        </w:rPr>
        <w:t>La política por fuera de sus instituciones características. La política como acción, lo político como espacio de conflicto.</w:t>
      </w:r>
      <w:r w:rsidRPr="00A77D59">
        <w:rPr>
          <w:rFonts w:ascii="ATRotisSemiSans" w:hAnsi="ATRotisSemiSans"/>
          <w:szCs w:val="24"/>
          <w:lang w:val="es-AR"/>
        </w:rPr>
        <w:t xml:space="preserve"> </w:t>
      </w:r>
      <w:r>
        <w:rPr>
          <w:rFonts w:ascii="ATRotisSemiSans" w:hAnsi="ATRotisSemiSans"/>
          <w:szCs w:val="24"/>
          <w:lang w:val="es-AR"/>
        </w:rPr>
        <w:t>Definiciones: análisis de los aspectos centrales de la polí</w:t>
      </w:r>
      <w:r>
        <w:rPr>
          <w:rFonts w:ascii="ATRotisSemiSans" w:hAnsi="ATRotisSemiSans"/>
          <w:szCs w:val="24"/>
          <w:lang w:val="es-AR"/>
        </w:rPr>
        <w:t>tica: diferencia, conflicto, consenso y coerción.</w:t>
      </w:r>
      <w:r w:rsidRPr="00A77D59">
        <w:rPr>
          <w:rFonts w:ascii="ATRotisSemiSans" w:hAnsi="ATRotisSemiSans"/>
          <w:szCs w:val="24"/>
          <w:lang w:val="es-AR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1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 xml:space="preserve">La teoría política. La política pensada desde la teoría: como </w:t>
      </w:r>
      <w:r>
        <w:rPr>
          <w:rFonts w:ascii="ATRotisSemiSans" w:hAnsi="ATRotisSemiSans"/>
          <w:i/>
          <w:sz w:val="22"/>
        </w:rPr>
        <w:t>creación de consensos</w:t>
      </w:r>
      <w:r>
        <w:rPr>
          <w:rFonts w:ascii="ATRotisSemiSans" w:hAnsi="ATRotisSemiSans"/>
          <w:sz w:val="22"/>
        </w:rPr>
        <w:t xml:space="preserve">, como </w:t>
      </w:r>
      <w:r>
        <w:rPr>
          <w:rFonts w:ascii="ATRotisSemiSans" w:hAnsi="ATRotisSemiSans"/>
          <w:i/>
          <w:sz w:val="22"/>
        </w:rPr>
        <w:t>conflicto</w:t>
      </w:r>
      <w:r>
        <w:rPr>
          <w:rFonts w:ascii="ATRotisSemiSans" w:hAnsi="ATRotisSemiSans"/>
          <w:sz w:val="22"/>
        </w:rPr>
        <w:t xml:space="preserve">, como el </w:t>
      </w:r>
      <w:r>
        <w:rPr>
          <w:rFonts w:ascii="ATRotisSemiSans" w:hAnsi="ATRotisSemiSans"/>
          <w:i/>
          <w:sz w:val="22"/>
        </w:rPr>
        <w:t>vínculo</w:t>
      </w:r>
      <w:r>
        <w:rPr>
          <w:rFonts w:ascii="ATRotisSemiSans" w:hAnsi="ATRotisSemiSans"/>
          <w:sz w:val="22"/>
        </w:rPr>
        <w:t xml:space="preserve"> entre el </w:t>
      </w:r>
      <w:r>
        <w:rPr>
          <w:rFonts w:ascii="ATRotisSemiSans" w:hAnsi="ATRotisSemiSans"/>
          <w:i/>
          <w:sz w:val="22"/>
        </w:rPr>
        <w:t>consenso</w:t>
      </w:r>
      <w:r>
        <w:rPr>
          <w:rFonts w:ascii="ATRotisSemiSans" w:hAnsi="ATRotisSemiSans"/>
          <w:sz w:val="22"/>
        </w:rPr>
        <w:t xml:space="preserve"> y la </w:t>
      </w:r>
      <w:r>
        <w:rPr>
          <w:rFonts w:ascii="ATRotisSemiSans" w:hAnsi="ATRotisSemiSans"/>
          <w:i/>
          <w:sz w:val="22"/>
        </w:rPr>
        <w:t>coerción</w:t>
      </w:r>
      <w:r>
        <w:rPr>
          <w:rFonts w:ascii="ATRotisSemiSans" w:hAnsi="ATRotisSemiSans"/>
          <w:sz w:val="22"/>
        </w:rPr>
        <w:t>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1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 xml:space="preserve">Los </w:t>
      </w:r>
      <w:r>
        <w:rPr>
          <w:rFonts w:ascii="ATRotisSemiSans" w:hAnsi="ATRotisSemiSans"/>
          <w:i/>
          <w:sz w:val="22"/>
        </w:rPr>
        <w:t>actores</w:t>
      </w:r>
      <w:r>
        <w:rPr>
          <w:rFonts w:ascii="ATRotisSemiSans" w:hAnsi="ATRotisSemiSans"/>
          <w:sz w:val="22"/>
        </w:rPr>
        <w:t xml:space="preserve"> de la política. Las personas como </w:t>
      </w:r>
      <w:r>
        <w:rPr>
          <w:rFonts w:ascii="ATRotisSemiSans" w:hAnsi="ATRotisSemiSans"/>
          <w:i/>
          <w:sz w:val="22"/>
        </w:rPr>
        <w:t>sujetos</w:t>
      </w:r>
      <w:r>
        <w:rPr>
          <w:rFonts w:ascii="ATRotisSemiSans" w:hAnsi="ATRotisSemiSans"/>
          <w:sz w:val="22"/>
        </w:rPr>
        <w:t xml:space="preserve"> políticos. Individuo y sociedad. La producción de las relaciones sociales, la organización y la reproducción de la sociedad.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Default="00ED2C76">
      <w:pPr>
        <w:pStyle w:val="Prrafodelista"/>
        <w:widowControl/>
        <w:numPr>
          <w:ilvl w:val="0"/>
          <w:numId w:val="1"/>
        </w:numPr>
        <w:spacing w:after="40"/>
        <w:jc w:val="both"/>
        <w:rPr>
          <w:rFonts w:ascii="ATRotisSemiSans" w:hAnsi="ATRotisSemiSans"/>
          <w:sz w:val="22"/>
          <w:lang w:val="en-US"/>
        </w:rPr>
      </w:pPr>
      <w:r>
        <w:rPr>
          <w:rFonts w:ascii="ATRotisSemiSans" w:hAnsi="ATRotisSemiSans"/>
          <w:sz w:val="22"/>
        </w:rPr>
        <w:t>Gobierno. Los distintos tipos y formas de gobierno.</w:t>
      </w:r>
      <w:r>
        <w:rPr>
          <w:rFonts w:ascii="ATRotisSemiSans" w:hAnsi="ATRotisSemiSans"/>
          <w:sz w:val="22"/>
          <w:lang w:val="es-ES_tradnl"/>
        </w:rPr>
        <w:t xml:space="preserve"> </w:t>
      </w:r>
      <w:r>
        <w:rPr>
          <w:rFonts w:ascii="ATRotisSemiSans" w:hAnsi="ATRotisSemiSans"/>
          <w:sz w:val="22"/>
        </w:rPr>
        <w:t>Democracia: características y aspectos fundamentales. Formas de conc</w:t>
      </w:r>
      <w:r>
        <w:rPr>
          <w:rFonts w:ascii="ATRotisSemiSans" w:hAnsi="ATRotisSemiSans"/>
          <w:sz w:val="22"/>
        </w:rPr>
        <w:t xml:space="preserve">ebirla: como </w:t>
      </w:r>
      <w:r>
        <w:rPr>
          <w:rFonts w:ascii="ATRotisSemiSans" w:hAnsi="ATRotisSemiSans"/>
          <w:i/>
          <w:sz w:val="22"/>
        </w:rPr>
        <w:t>modo</w:t>
      </w:r>
      <w:r>
        <w:rPr>
          <w:rFonts w:ascii="ATRotisSemiSans" w:hAnsi="ATRotisSemiSans"/>
          <w:sz w:val="22"/>
        </w:rPr>
        <w:t xml:space="preserve"> de </w:t>
      </w:r>
      <w:r>
        <w:rPr>
          <w:rFonts w:ascii="ATRotisSemiSans" w:hAnsi="ATRotisSemiSans"/>
          <w:i/>
          <w:sz w:val="22"/>
        </w:rPr>
        <w:t>organización social</w:t>
      </w:r>
      <w:r>
        <w:rPr>
          <w:rFonts w:ascii="ATRotisSemiSans" w:hAnsi="ATRotisSemiSans"/>
          <w:sz w:val="22"/>
        </w:rPr>
        <w:t xml:space="preserve">, </w:t>
      </w:r>
      <w:r>
        <w:rPr>
          <w:rFonts w:ascii="ATRotisSemiSans" w:hAnsi="ATRotisSemiSans"/>
          <w:i/>
          <w:sz w:val="22"/>
        </w:rPr>
        <w:t>forma de gobernar</w:t>
      </w:r>
      <w:r>
        <w:rPr>
          <w:rFonts w:ascii="ATRotisSemiSans" w:hAnsi="ATRotisSemiSans"/>
          <w:sz w:val="22"/>
        </w:rPr>
        <w:t xml:space="preserve">, </w:t>
      </w:r>
      <w:r>
        <w:rPr>
          <w:rFonts w:ascii="ATRotisSemiSans" w:hAnsi="ATRotisSemiSans"/>
          <w:i/>
          <w:sz w:val="22"/>
        </w:rPr>
        <w:t>sistema político</w:t>
      </w:r>
      <w:r>
        <w:rPr>
          <w:rFonts w:ascii="ATRotisSemiSans" w:hAnsi="ATRotisSemiSans"/>
          <w:sz w:val="22"/>
        </w:rPr>
        <w:t xml:space="preserve">, </w:t>
      </w:r>
      <w:r>
        <w:rPr>
          <w:rFonts w:ascii="ATRotisSemiSans" w:hAnsi="ATRotisSemiSans"/>
          <w:i/>
          <w:sz w:val="22"/>
        </w:rPr>
        <w:t>forma de vida</w:t>
      </w:r>
      <w:r>
        <w:rPr>
          <w:rFonts w:ascii="ATRotisSemiSans" w:hAnsi="ATRotisSemiSans"/>
          <w:sz w:val="22"/>
        </w:rPr>
        <w:t xml:space="preserve">. Maneras de gobierno en democracia: Democracia directa, representativa y </w:t>
      </w:r>
      <w:proofErr w:type="spellStart"/>
      <w:r>
        <w:rPr>
          <w:rFonts w:ascii="ATRotisSemiSans" w:hAnsi="ATRotisSemiSans"/>
          <w:sz w:val="22"/>
        </w:rPr>
        <w:t>semidirecta</w:t>
      </w:r>
      <w:proofErr w:type="spellEnd"/>
      <w:r>
        <w:rPr>
          <w:rFonts w:ascii="ATRotisSemiSans" w:hAnsi="ATRotisSemiSans"/>
          <w:sz w:val="22"/>
        </w:rPr>
        <w:t>. Las problemáticas asociadas a la democracia y sus cuentas pendientes. Democra</w:t>
      </w:r>
      <w:r>
        <w:rPr>
          <w:rFonts w:ascii="ATRotisSemiSans" w:hAnsi="ATRotisSemiSans"/>
          <w:sz w:val="22"/>
        </w:rPr>
        <w:t>cia Formal y Democracia Sustantiva.</w:t>
      </w:r>
    </w:p>
    <w:p w:rsidR="00000000" w:rsidRDefault="00ED2C76">
      <w:pPr>
        <w:pStyle w:val="Prrafodelista"/>
        <w:widowControl/>
        <w:numPr>
          <w:ilvl w:val="0"/>
          <w:numId w:val="1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 xml:space="preserve">El Poder. Las diferentes formas de concebirlo y sus consecuencias prácticas. Relación entre poder y política. Foucault: El poder como relación social. </w:t>
      </w:r>
      <w:proofErr w:type="spellStart"/>
      <w:r>
        <w:rPr>
          <w:rFonts w:ascii="ATRotisSemiSans" w:hAnsi="ATRotisSemiSans"/>
          <w:sz w:val="22"/>
        </w:rPr>
        <w:t>Gramsci</w:t>
      </w:r>
      <w:proofErr w:type="spellEnd"/>
      <w:r>
        <w:rPr>
          <w:rFonts w:ascii="ATRotisSemiSans" w:hAnsi="ATRotisSemiSans"/>
          <w:sz w:val="22"/>
        </w:rPr>
        <w:t xml:space="preserve"> y Las formas en que se ejerce el poder: hegemonía y dominac</w:t>
      </w:r>
      <w:r>
        <w:rPr>
          <w:rFonts w:ascii="ATRotisSemiSans" w:hAnsi="ATRotisSemiSans"/>
          <w:sz w:val="22"/>
        </w:rPr>
        <w:t>ión.</w:t>
      </w:r>
    </w:p>
    <w:p w:rsidR="00000000" w:rsidRDefault="00ED2C76">
      <w:pPr>
        <w:pStyle w:val="Prrafodelista"/>
        <w:widowControl/>
        <w:spacing w:after="20"/>
        <w:ind w:left="0"/>
        <w:jc w:val="both"/>
        <w:rPr>
          <w:rFonts w:ascii="ATRotisSemiSans" w:hAnsi="ATRotisSemiSans"/>
          <w:b/>
          <w:sz w:val="22"/>
        </w:rPr>
      </w:pPr>
      <w:r>
        <w:rPr>
          <w:rFonts w:ascii="ATRotisSemiSans" w:hAnsi="ATRotisSemiSans"/>
          <w:b/>
          <w:sz w:val="22"/>
        </w:rPr>
        <w:t xml:space="preserve">Unidad 2: </w:t>
      </w:r>
      <w:r>
        <w:rPr>
          <w:rFonts w:ascii="ATRotisSemiSans" w:hAnsi="ATRotisSemiSans"/>
          <w:b/>
          <w:color w:val="7F7F7F"/>
          <w:sz w:val="22"/>
        </w:rPr>
        <w:t>Estado de Derecho y Terrorismo de Estado.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spacing w:after="40"/>
        <w:ind w:left="0"/>
        <w:jc w:val="both"/>
        <w:rPr>
          <w:rFonts w:ascii="ATRotisSemiSans" w:hAnsi="ATRotisSemiSans"/>
          <w:sz w:val="22"/>
        </w:rPr>
      </w:pP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>El incumplimiento del Estado de Derecho, Terrorismo de estado y Gobierno de Facto. Los golpes de estado en Argentina y América Latina. La práctica de los derechos y el comportamiento de las inst</w:t>
      </w:r>
      <w:r>
        <w:rPr>
          <w:rFonts w:ascii="ATRotisSemiSans" w:hAnsi="ATRotisSemiSans"/>
          <w:sz w:val="22"/>
        </w:rPr>
        <w:t xml:space="preserve">ituciones jurídicas durante los golpes militares. Características generales de las dictaduras en América Latina. Trabajo con el Programa </w:t>
      </w:r>
      <w:r>
        <w:rPr>
          <w:rFonts w:ascii="ATRotisSemiSans" w:hAnsi="ATRotisSemiSans"/>
          <w:b/>
          <w:sz w:val="22"/>
          <w:u w:val="single"/>
        </w:rPr>
        <w:t xml:space="preserve">"La escuela va a los juicios"  </w:t>
      </w:r>
      <w:r>
        <w:rPr>
          <w:rFonts w:ascii="ATRotisSemiSans" w:hAnsi="ATRotisSemiSans"/>
          <w:sz w:val="22"/>
        </w:rPr>
        <w:t>Análisis del proceso de justicia en nuestro país. Comparación con otras Comisiones de Ve</w:t>
      </w:r>
      <w:r>
        <w:rPr>
          <w:rFonts w:ascii="ATRotisSemiSans" w:hAnsi="ATRotisSemiSans"/>
          <w:sz w:val="22"/>
        </w:rPr>
        <w:t xml:space="preserve">rdad y de Justicia (Ruanda, Sudáfrica, </w:t>
      </w:r>
      <w:proofErr w:type="spellStart"/>
      <w:r>
        <w:rPr>
          <w:rFonts w:ascii="ATRotisSemiSans" w:hAnsi="ATRotisSemiSans"/>
          <w:sz w:val="22"/>
        </w:rPr>
        <w:t>etc</w:t>
      </w:r>
      <w:proofErr w:type="spellEnd"/>
      <w:r>
        <w:rPr>
          <w:rFonts w:ascii="ATRotisSemiSans" w:hAnsi="ATRotisSemiSans"/>
          <w:sz w:val="22"/>
        </w:rPr>
        <w:t>)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 xml:space="preserve">El Estado de Derecho y sus </w:t>
      </w:r>
      <w:proofErr w:type="spellStart"/>
      <w:r>
        <w:rPr>
          <w:rFonts w:ascii="ATRotisSemiSans" w:hAnsi="ATRotisSemiSans"/>
          <w:sz w:val="22"/>
        </w:rPr>
        <w:t>dimensiones.La</w:t>
      </w:r>
      <w:proofErr w:type="spellEnd"/>
      <w:r>
        <w:rPr>
          <w:rFonts w:ascii="ATRotisSemiSans" w:hAnsi="ATRotisSemiSans"/>
          <w:sz w:val="22"/>
        </w:rPr>
        <w:t xml:space="preserve"> Constitución Nacional: contenido y reformas. Mecanismos de control al poder político. El acceso a la justicia y el cumplimiento del Estado de derecho.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 xml:space="preserve">Los Derechos </w:t>
      </w:r>
      <w:r>
        <w:rPr>
          <w:rFonts w:ascii="ATRotisSemiSans" w:hAnsi="ATRotisSemiSans"/>
          <w:sz w:val="22"/>
        </w:rPr>
        <w:t>Humanos. Concepto. La lucha por el reconocimiento histórico y los Movimientos de derechos Humanos a nivel nacional y mundial. El rol del Estado. Análisis de la situación actual del cumplimiento de los DDHH en Argentina y en el Mundo.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widowControl/>
        <w:jc w:val="both"/>
        <w:rPr>
          <w:rFonts w:ascii="ATRotisSemiSans" w:hAnsi="ATRotisSemiSans" w:cs="Times New Roman"/>
          <w:sz w:val="22"/>
        </w:rPr>
      </w:pPr>
      <w:r w:rsidRPr="00A77D59">
        <w:rPr>
          <w:rFonts w:ascii="ATRotisSemiSans" w:hAnsi="ATRotisSemiSans" w:cs="Times New Roman"/>
          <w:sz w:val="22"/>
        </w:rPr>
        <w:t xml:space="preserve"> 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b/>
          <w:sz w:val="22"/>
        </w:rPr>
      </w:pPr>
      <w:r>
        <w:rPr>
          <w:rFonts w:ascii="ATRotisSemiSans" w:hAnsi="ATRotisSemiSans" w:cs="Times New Roman"/>
          <w:b/>
          <w:sz w:val="22"/>
        </w:rPr>
        <w:t xml:space="preserve">Unidad 3: </w:t>
      </w:r>
      <w:r>
        <w:rPr>
          <w:rFonts w:ascii="ATRotisSemiSans" w:hAnsi="ATRotisSemiSans" w:cs="Times New Roman"/>
          <w:b/>
          <w:color w:val="7F7F7F"/>
          <w:sz w:val="22"/>
        </w:rPr>
        <w:t>La políti</w:t>
      </w:r>
      <w:r>
        <w:rPr>
          <w:rFonts w:ascii="ATRotisSemiSans" w:hAnsi="ATRotisSemiSans" w:cs="Times New Roman"/>
          <w:b/>
          <w:color w:val="7F7F7F"/>
          <w:sz w:val="22"/>
        </w:rPr>
        <w:t>ca como acción. Participación y organización política.</w:t>
      </w:r>
      <w:r>
        <w:rPr>
          <w:rFonts w:ascii="ATRotisSemiSans" w:hAnsi="ATRotisSemiSans" w:cs="Times New Roman"/>
          <w:sz w:val="22"/>
          <w:lang w:val="es-ES_tradnl"/>
        </w:rPr>
        <w:t xml:space="preserve"> </w:t>
      </w:r>
    </w:p>
    <w:p w:rsidR="00000000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  <w:lang w:val="es-ES_tradnl"/>
        </w:rPr>
      </w:pPr>
      <w:r>
        <w:rPr>
          <w:rFonts w:ascii="ATRotisSemiSans" w:hAnsi="ATRotisSemiSans"/>
          <w:sz w:val="22"/>
        </w:rPr>
        <w:t xml:space="preserve">Ciudadanía y democracia. El sufragio como acción y símbolo del sistema democrático. 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</w:rPr>
      </w:pPr>
      <w:r>
        <w:rPr>
          <w:rFonts w:ascii="ATRotisSemiSans" w:hAnsi="ATRotisSemiSans"/>
          <w:sz w:val="22"/>
        </w:rPr>
        <w:t>La participación política como dimensión vivida de la democracia: Las organizaciones y los actores de la polí</w:t>
      </w:r>
      <w:r>
        <w:rPr>
          <w:rFonts w:ascii="ATRotisSemiSans" w:hAnsi="ATRotisSemiSans"/>
          <w:sz w:val="22"/>
        </w:rPr>
        <w:t xml:space="preserve">tica. Diferentes formas de organización y participación política: partidos políticos, organizaciones gremiales, movimientos sociales y </w:t>
      </w:r>
      <w:proofErr w:type="spellStart"/>
      <w:r>
        <w:rPr>
          <w:rFonts w:ascii="ATRotisSemiSans" w:hAnsi="ATRotisSemiSans"/>
          <w:sz w:val="22"/>
        </w:rPr>
        <w:t>ONGs</w:t>
      </w:r>
      <w:proofErr w:type="spellEnd"/>
      <w:r>
        <w:rPr>
          <w:rFonts w:ascii="ATRotisSemiSans" w:hAnsi="ATRotisSemiSans"/>
          <w:sz w:val="22"/>
        </w:rPr>
        <w:t>.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  <w:lang w:val="en-US"/>
        </w:rPr>
      </w:pPr>
      <w:r>
        <w:rPr>
          <w:rFonts w:ascii="ATRotisSemiSans" w:hAnsi="ATRotisSemiSans"/>
          <w:sz w:val="22"/>
        </w:rPr>
        <w:t>Las organizaciones y el poder en la Argentina. Los movimientos sociales en Argentina y en el mundo: historia y c</w:t>
      </w:r>
      <w:r>
        <w:rPr>
          <w:rFonts w:ascii="ATRotisSemiSans" w:hAnsi="ATRotisSemiSans"/>
          <w:sz w:val="22"/>
        </w:rPr>
        <w:t>asos de estudio. La protesta social como vehículo de demandas.</w:t>
      </w:r>
      <w:r>
        <w:rPr>
          <w:rFonts w:ascii="ATRotisSemiSans" w:hAnsi="ATRotisSemiSans"/>
          <w:sz w:val="22"/>
          <w:lang w:val="en-US"/>
        </w:rPr>
        <w:t xml:space="preserve"> 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sz w:val="22"/>
          <w:lang w:val="en-US"/>
        </w:rPr>
      </w:pPr>
      <w:r>
        <w:rPr>
          <w:rFonts w:ascii="ATRotisSemiSans" w:hAnsi="ATRotisSemiSans" w:cs="Times New Roman"/>
          <w:sz w:val="22"/>
          <w:lang w:val="en-US"/>
        </w:rPr>
        <w:t xml:space="preserve"> 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b/>
          <w:sz w:val="22"/>
        </w:rPr>
      </w:pPr>
      <w:r>
        <w:rPr>
          <w:rFonts w:ascii="ATRotisSemiSans" w:hAnsi="ATRotisSemiSans" w:cs="Times New Roman"/>
          <w:b/>
          <w:sz w:val="22"/>
        </w:rPr>
        <w:t xml:space="preserve">Unidad 4: </w:t>
      </w:r>
      <w:r>
        <w:rPr>
          <w:rFonts w:ascii="ATRotisSemiSans" w:hAnsi="ATRotisSemiSans" w:cs="Times New Roman"/>
          <w:b/>
          <w:color w:val="7F7F7F"/>
          <w:sz w:val="22"/>
        </w:rPr>
        <w:t xml:space="preserve">Estado y tipología. Sistemas políticos. </w:t>
      </w:r>
      <w:r>
        <w:rPr>
          <w:rFonts w:ascii="ATRotisSemiSans" w:hAnsi="ATRotisSemiSans" w:cs="Times New Roman"/>
          <w:sz w:val="22"/>
          <w:lang w:val="es-ES_tradnl"/>
        </w:rPr>
        <w:t xml:space="preserve"> </w:t>
      </w:r>
    </w:p>
    <w:p w:rsidR="00000000" w:rsidRDefault="00ED2C76">
      <w:pPr>
        <w:pStyle w:val="Prrafodelista"/>
        <w:widowControl/>
        <w:numPr>
          <w:ilvl w:val="0"/>
          <w:numId w:val="2"/>
        </w:numPr>
        <w:spacing w:after="40"/>
        <w:jc w:val="both"/>
        <w:rPr>
          <w:rFonts w:ascii="ATRotisSemiSans" w:hAnsi="ATRotisSemiSans"/>
          <w:sz w:val="22"/>
          <w:lang w:val="es-ES_tradnl"/>
        </w:rPr>
      </w:pPr>
      <w:r>
        <w:rPr>
          <w:rFonts w:ascii="ATRotisSemiSans" w:hAnsi="ATRotisSemiSans"/>
          <w:sz w:val="22"/>
        </w:rPr>
        <w:t>¿Qué es el Estado? Diferentes concepciones. Atributos del Estado: territorio, población, uso de la fuerza, monopolio fiscal, organizació</w:t>
      </w:r>
      <w:r>
        <w:rPr>
          <w:rFonts w:ascii="ATRotisSemiSans" w:hAnsi="ATRotisSemiSans"/>
          <w:sz w:val="22"/>
        </w:rPr>
        <w:t xml:space="preserve">n, ordenamiento normativo. El Estado como construcción </w:t>
      </w:r>
      <w:proofErr w:type="spellStart"/>
      <w:r>
        <w:rPr>
          <w:rFonts w:ascii="ATRotisSemiSans" w:hAnsi="ATRotisSemiSans"/>
          <w:sz w:val="22"/>
        </w:rPr>
        <w:t>sociohistórica</w:t>
      </w:r>
      <w:proofErr w:type="spellEnd"/>
      <w:r>
        <w:rPr>
          <w:rFonts w:ascii="ATRotisSemiSans" w:hAnsi="ATRotisSemiSans"/>
          <w:sz w:val="22"/>
        </w:rPr>
        <w:t xml:space="preserve">: La formación del Estado Moderno. </w:t>
      </w:r>
      <w:r w:rsidRPr="00A77D59">
        <w:rPr>
          <w:rFonts w:ascii="ATRotisSemiSans" w:hAnsi="ATRotisSemiSans"/>
          <w:sz w:val="22"/>
        </w:rPr>
        <w:t xml:space="preserve"> </w:t>
      </w:r>
    </w:p>
    <w:p w:rsidR="00000000" w:rsidRPr="00A77D59" w:rsidRDefault="00ED2C76">
      <w:pPr>
        <w:pStyle w:val="Normal0"/>
        <w:widowControl/>
        <w:rPr>
          <w:rFonts w:ascii="ATRotisSemiSans" w:hAnsi="ATRotisSemiSans"/>
          <w:b/>
          <w:szCs w:val="24"/>
          <w:lang w:val="es-AR"/>
        </w:rPr>
      </w:pPr>
      <w:r w:rsidRPr="00A77D59">
        <w:rPr>
          <w:rFonts w:ascii="ATRotisSemiSans" w:hAnsi="ATRotisSemiSans"/>
          <w:b/>
          <w:szCs w:val="24"/>
          <w:lang w:val="es-AR"/>
        </w:rPr>
        <w:t>Modalidades de Evaluación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El trabajo de los estudiantes será evaluado bajo diferentes modalidades: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La principal forma de evaluación y calificación ser</w:t>
      </w:r>
      <w:r>
        <w:rPr>
          <w:rFonts w:ascii="ATRotisSemiSans" w:hAnsi="ATRotisSemiSans" w:cs="Times New Roman"/>
          <w:lang w:val="es-ES_tradnl"/>
        </w:rPr>
        <w:t>á en base a lo trabajado en clase, principalmente por medio de sus productos (trabajos prácticos, afiches, ensayos, apuntes, etc.).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lastRenderedPageBreak/>
        <w:t>En segunda medida, se realizarán evaluaciones orales individuales en forma periódica, orientadas a evaluar el seguimiento de</w:t>
      </w:r>
      <w:r>
        <w:rPr>
          <w:rFonts w:ascii="ATRotisSemiSans" w:hAnsi="ATRotisSemiSans" w:cs="Times New Roman"/>
          <w:lang w:val="es-ES_tradnl"/>
        </w:rPr>
        <w:t xml:space="preserve"> las lecturas teóricas por parte de los estudiantes.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Habrá una evaluación escrita trimestral,</w:t>
      </w:r>
      <w:r w:rsidR="00A77D59">
        <w:rPr>
          <w:rFonts w:ascii="ATRotisSemiSans" w:hAnsi="ATRotisSemiSans" w:cs="Times New Roman"/>
          <w:lang w:val="es-ES_tradnl"/>
        </w:rPr>
        <w:t xml:space="preserve"> </w:t>
      </w:r>
      <w:r>
        <w:rPr>
          <w:rFonts w:ascii="ATRotisSemiSans" w:hAnsi="ATRotisSemiSans" w:cs="Times New Roman"/>
          <w:lang w:val="es-ES_tradnl"/>
        </w:rPr>
        <w:t>en donde se podrán en juego la articulación de conocimientos teóricos con la reflexión y el análisis de las diferentes problemáticas trabajadas.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Finalmente habrá</w:t>
      </w:r>
      <w:r>
        <w:rPr>
          <w:rFonts w:ascii="ATRotisSemiSans" w:hAnsi="ATRotisSemiSans" w:cs="Times New Roman"/>
          <w:lang w:val="es-ES_tradnl"/>
        </w:rPr>
        <w:t xml:space="preserve"> una calificación actitudinal, que calificará en donde se evaluará el trabajo y participación en clase, el cumplimiento y realización de actividades y tareas, el compromiso del estudiante con la materia, el comportamiento y, prioritariamente las formas de </w:t>
      </w:r>
      <w:r>
        <w:rPr>
          <w:rFonts w:ascii="ATRotisSemiSans" w:hAnsi="ATRotisSemiSans" w:cs="Times New Roman"/>
          <w:lang w:val="es-ES_tradnl"/>
        </w:rPr>
        <w:t xml:space="preserve">relacionarse tanto con la docente como con sus compañeros durante la clase. </w:t>
      </w:r>
    </w:p>
    <w:p w:rsidR="00000000" w:rsidRDefault="00ED2C76">
      <w:pPr>
        <w:widowControl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Las notas provenientes de cada modalidad de calificación serán promediadas para lograr la calificación final de cada trimestre.</w:t>
      </w:r>
    </w:p>
    <w:p w:rsidR="00000000" w:rsidRDefault="00ED2C76">
      <w:pPr>
        <w:widowControl/>
        <w:spacing w:after="20"/>
        <w:jc w:val="both"/>
        <w:rPr>
          <w:rFonts w:ascii="ATRotisSemiSans" w:hAnsi="ATRotisSemiSans" w:cs="Times New Roman"/>
          <w:lang w:val="es-ES_tradnl"/>
        </w:rPr>
      </w:pPr>
    </w:p>
    <w:p w:rsidR="00000000" w:rsidRDefault="00ED2C76">
      <w:pPr>
        <w:widowControl/>
        <w:spacing w:after="20"/>
        <w:jc w:val="both"/>
        <w:rPr>
          <w:rFonts w:cs="Times New Roman"/>
          <w:b/>
          <w:lang w:val="es-ES_tradnl"/>
        </w:rPr>
      </w:pPr>
      <w:r>
        <w:rPr>
          <w:rFonts w:cs="Times New Roman"/>
          <w:b/>
          <w:lang w:val="es-ES_tradnl"/>
        </w:rPr>
        <w:t>Bibliografía para estudiantes:</w:t>
      </w:r>
    </w:p>
    <w:p w:rsidR="00000000" w:rsidRDefault="00ED2C76">
      <w:pPr>
        <w:pStyle w:val="Prrafodelista"/>
        <w:widowControl/>
        <w:numPr>
          <w:ilvl w:val="0"/>
          <w:numId w:val="3"/>
        </w:numPr>
        <w:spacing w:after="20"/>
        <w:jc w:val="both"/>
        <w:rPr>
          <w:b/>
          <w:lang w:val="es-ES_tradnl"/>
        </w:rPr>
      </w:pPr>
      <w:r>
        <w:rPr>
          <w:sz w:val="22"/>
          <w:lang w:val="es-ES_tradnl"/>
        </w:rPr>
        <w:t>Conocer +. Políti</w:t>
      </w:r>
      <w:r>
        <w:rPr>
          <w:sz w:val="22"/>
          <w:lang w:val="es-ES_tradnl"/>
        </w:rPr>
        <w:t xml:space="preserve">ca y Ciudadanía. / Alejandro J. </w:t>
      </w:r>
      <w:proofErr w:type="spellStart"/>
      <w:r>
        <w:rPr>
          <w:sz w:val="22"/>
          <w:lang w:val="es-ES_tradnl"/>
        </w:rPr>
        <w:t>Balbiano</w:t>
      </w:r>
      <w:proofErr w:type="spellEnd"/>
      <w:r>
        <w:rPr>
          <w:sz w:val="22"/>
          <w:lang w:val="es-ES_tradnl"/>
        </w:rPr>
        <w:t>... [</w:t>
      </w:r>
      <w:proofErr w:type="spellStart"/>
      <w:r>
        <w:rPr>
          <w:sz w:val="22"/>
          <w:lang w:val="es-ES_tradnl"/>
        </w:rPr>
        <w:t>et.al</w:t>
      </w:r>
      <w:proofErr w:type="spellEnd"/>
      <w:r>
        <w:rPr>
          <w:sz w:val="22"/>
          <w:lang w:val="es-ES_tradnl"/>
        </w:rPr>
        <w:t>.]- Buenos Aires: Santillana, 2013.</w:t>
      </w:r>
    </w:p>
    <w:p w:rsidR="00000000" w:rsidRDefault="00ED2C76">
      <w:pPr>
        <w:widowControl/>
        <w:ind w:left="282" w:hanging="293"/>
        <w:jc w:val="both"/>
        <w:rPr>
          <w:rFonts w:cs="Times New Roman"/>
          <w:sz w:val="22"/>
          <w:lang w:val="es-ES_tradnl"/>
        </w:rPr>
      </w:pPr>
    </w:p>
    <w:p w:rsidR="00000000" w:rsidRDefault="00ED2C76">
      <w:pPr>
        <w:pStyle w:val="Prrafodelista"/>
        <w:widowControl/>
        <w:numPr>
          <w:ilvl w:val="0"/>
          <w:numId w:val="3"/>
        </w:numPr>
        <w:jc w:val="both"/>
        <w:rPr>
          <w:sz w:val="22"/>
          <w:lang w:val="es-ES_tradnl"/>
        </w:rPr>
      </w:pPr>
      <w:r w:rsidRPr="00A77D59">
        <w:rPr>
          <w:rFonts w:ascii="ATRotisSemiSans" w:hAnsi="ATRotisSemiSans"/>
          <w:sz w:val="22"/>
        </w:rPr>
        <w:t>Fragmentos y selección del docente de los siguientes textos:</w:t>
      </w:r>
    </w:p>
    <w:p w:rsidR="00000000" w:rsidRDefault="00ED2C76">
      <w:pPr>
        <w:widowControl/>
        <w:ind w:left="282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 xml:space="preserve">BOURDIEU, P. 1997. </w:t>
      </w:r>
      <w:r>
        <w:rPr>
          <w:rFonts w:ascii="ATRotisSemiSans" w:hAnsi="ATRotisSemiSans" w:cs="Times New Roman"/>
          <w:lang w:val="es-ES_tradnl"/>
        </w:rPr>
        <w:t>“</w:t>
      </w:r>
      <w:r>
        <w:rPr>
          <w:rFonts w:ascii="ATRotisSemiSans" w:hAnsi="ATRotisSemiSans" w:cs="Times New Roman"/>
          <w:lang w:val="es-ES_tradnl"/>
        </w:rPr>
        <w:t>Espíritus de Estado. Génesis y estructura del campo burocrático</w:t>
      </w:r>
      <w:r>
        <w:rPr>
          <w:rFonts w:ascii="ATRotisSemiSans" w:hAnsi="ATRotisSemiSans" w:cs="Times New Roman"/>
          <w:lang w:val="es-ES_tradnl"/>
        </w:rPr>
        <w:t>”</w:t>
      </w:r>
      <w:r>
        <w:rPr>
          <w:rFonts w:ascii="ATRotisSemiSans" w:hAnsi="ATRotisSemiSans" w:cs="Times New Roman"/>
          <w:lang w:val="es-ES_tradnl"/>
        </w:rPr>
        <w:t>.</w:t>
      </w:r>
    </w:p>
    <w:p w:rsidR="00000000" w:rsidRDefault="00ED2C76">
      <w:pPr>
        <w:widowControl/>
        <w:ind w:left="282" w:firstLine="423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En: Razones práctica</w:t>
      </w:r>
      <w:r>
        <w:rPr>
          <w:rFonts w:ascii="ATRotisSemiSans" w:hAnsi="ATRotisSemiSans" w:cs="Times New Roman"/>
          <w:lang w:val="es-ES_tradnl"/>
        </w:rPr>
        <w:t xml:space="preserve">s. Sobre la teoría de la acción. Anagrama: Barcelona. </w:t>
      </w:r>
    </w:p>
    <w:p w:rsidR="00000000" w:rsidRDefault="00ED2C76">
      <w:pPr>
        <w:widowControl/>
        <w:ind w:left="282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 xml:space="preserve">FOUCAULT, M. </w:t>
      </w:r>
      <w:r>
        <w:rPr>
          <w:rFonts w:ascii="ATRotisSemiSans" w:hAnsi="ATRotisSemiSans" w:cs="Times New Roman"/>
          <w:lang w:val="es-ES_tradnl"/>
        </w:rPr>
        <w:tab/>
        <w:t>1991, Microfísica del poder. (</w:t>
      </w:r>
      <w:proofErr w:type="gramStart"/>
      <w:r>
        <w:rPr>
          <w:rFonts w:ascii="ATRotisSemiSans" w:hAnsi="ATRotisSemiSans" w:cs="Times New Roman"/>
          <w:lang w:val="es-ES_tradnl"/>
        </w:rPr>
        <w:t>punto</w:t>
      </w:r>
      <w:proofErr w:type="gramEnd"/>
      <w:r>
        <w:rPr>
          <w:rFonts w:ascii="ATRotisSemiSans" w:hAnsi="ATRotisSemiSans" w:cs="Times New Roman"/>
          <w:lang w:val="es-ES_tradnl"/>
        </w:rPr>
        <w:t xml:space="preserve"> 6 y 8, 9 10 y 11) La Piqueta, Madrid.</w:t>
      </w:r>
    </w:p>
    <w:p w:rsidR="00000000" w:rsidRDefault="00ED2C76">
      <w:pPr>
        <w:widowControl/>
        <w:ind w:left="707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 xml:space="preserve">2008, Clase del 1 de febrero de 1978. En: Seguridad, territorio, población. Ediciones </w:t>
      </w:r>
      <w:proofErr w:type="spellStart"/>
      <w:r>
        <w:rPr>
          <w:rFonts w:ascii="ATRotisSemiSans" w:hAnsi="ATRotisSemiSans" w:cs="Times New Roman"/>
          <w:lang w:val="es-ES_tradnl"/>
        </w:rPr>
        <w:t>Akal</w:t>
      </w:r>
      <w:proofErr w:type="spellEnd"/>
      <w:r>
        <w:rPr>
          <w:rFonts w:ascii="ATRotisSemiSans" w:hAnsi="ATRotisSemiSans" w:cs="Times New Roman"/>
          <w:lang w:val="es-ES_tradnl"/>
        </w:rPr>
        <w:t>, Madrid, España</w:t>
      </w:r>
    </w:p>
    <w:p w:rsidR="00000000" w:rsidRDefault="00ED2C76">
      <w:pPr>
        <w:widowControl/>
        <w:ind w:firstLine="282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>GRAMSC</w:t>
      </w:r>
      <w:r>
        <w:rPr>
          <w:rFonts w:ascii="ATRotisSemiSans" w:hAnsi="ATRotisSemiSans" w:cs="Times New Roman"/>
          <w:lang w:val="es-ES_tradnl"/>
        </w:rPr>
        <w:t xml:space="preserve">I, A. </w:t>
      </w:r>
      <w:r>
        <w:rPr>
          <w:rFonts w:ascii="ATRotisSemiSans" w:hAnsi="ATRotisSemiSans" w:cs="Times New Roman"/>
          <w:lang w:val="es-ES_tradnl"/>
        </w:rPr>
        <w:t>“</w:t>
      </w:r>
      <w:r>
        <w:rPr>
          <w:rFonts w:ascii="ATRotisSemiSans" w:hAnsi="ATRotisSemiSans" w:cs="Times New Roman"/>
          <w:lang w:val="es-ES_tradnl"/>
        </w:rPr>
        <w:t>Notas sobre Maquiavelo, sobre política y sobre el Estado Moderno</w:t>
      </w:r>
      <w:r>
        <w:rPr>
          <w:rFonts w:ascii="ATRotisSemiSans" w:hAnsi="ATRotisSemiSans" w:cs="Times New Roman"/>
          <w:lang w:val="es-ES_tradnl"/>
        </w:rPr>
        <w:t>”</w:t>
      </w:r>
      <w:r>
        <w:rPr>
          <w:rFonts w:ascii="ATRotisSemiSans" w:hAnsi="ATRotisSemiSans" w:cs="Times New Roman"/>
          <w:lang w:val="es-ES_tradnl"/>
        </w:rPr>
        <w:t xml:space="preserve">. </w:t>
      </w:r>
    </w:p>
    <w:p w:rsidR="00000000" w:rsidRDefault="00ED2C76">
      <w:pPr>
        <w:widowControl/>
        <w:ind w:left="282" w:hanging="293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ab/>
      </w:r>
      <w:r>
        <w:rPr>
          <w:rFonts w:ascii="ATRotisSemiSans" w:hAnsi="ATRotisSemiSans" w:cs="Times New Roman"/>
          <w:lang w:val="es-ES_tradnl"/>
        </w:rPr>
        <w:tab/>
        <w:t xml:space="preserve">En: </w:t>
      </w:r>
      <w:hyperlink r:id="rId5" w:history="1">
        <w:r>
          <w:rPr>
            <w:rFonts w:ascii="ATRotisSemiSans" w:hAnsi="ATRotisSemiSans" w:cs="Times New Roman"/>
            <w:lang w:val="es-ES_tradnl"/>
          </w:rPr>
          <w:t>http://www.gramsci.org.ar/</w:t>
        </w:r>
      </w:hyperlink>
    </w:p>
    <w:p w:rsidR="00000000" w:rsidRDefault="00ED2C76">
      <w:pPr>
        <w:widowControl/>
        <w:ind w:left="282"/>
        <w:jc w:val="both"/>
        <w:rPr>
          <w:rFonts w:ascii="ATRotisSemiSans" w:hAnsi="ATRotisSemiSans" w:cs="Times New Roman"/>
          <w:lang w:val="es-ES_tradnl"/>
        </w:rPr>
      </w:pPr>
      <w:r>
        <w:rPr>
          <w:rFonts w:ascii="ATRotisSemiSans" w:hAnsi="ATRotisSemiSans" w:cs="Times New Roman"/>
          <w:lang w:val="es-ES_tradnl"/>
        </w:rPr>
        <w:t xml:space="preserve">WEBER, M.1974: </w:t>
      </w:r>
      <w:r>
        <w:rPr>
          <w:rFonts w:ascii="ATRotisSemiSans" w:hAnsi="ATRotisSemiSans" w:cs="Times New Roman"/>
          <w:lang w:val="es-ES_tradnl"/>
        </w:rPr>
        <w:t>“</w:t>
      </w:r>
      <w:r>
        <w:rPr>
          <w:rFonts w:ascii="ATRotisSemiSans" w:hAnsi="ATRotisSemiSans" w:cs="Times New Roman"/>
          <w:lang w:val="es-ES_tradnl"/>
        </w:rPr>
        <w:t>Burocracia</w:t>
      </w:r>
      <w:r>
        <w:rPr>
          <w:rFonts w:ascii="ATRotisSemiSans" w:hAnsi="ATRotisSemiSans" w:cs="Times New Roman"/>
          <w:lang w:val="es-ES_tradnl"/>
        </w:rPr>
        <w:t>”</w:t>
      </w:r>
      <w:r>
        <w:rPr>
          <w:rFonts w:ascii="ATRotisSemiSans" w:hAnsi="ATRotisSemiSans" w:cs="Times New Roman"/>
          <w:lang w:val="es-ES_tradnl"/>
        </w:rPr>
        <w:t xml:space="preserve">; en: </w:t>
      </w:r>
      <w:proofErr w:type="spellStart"/>
      <w:r>
        <w:rPr>
          <w:rFonts w:ascii="ATRotisSemiSans" w:hAnsi="ATRotisSemiSans" w:cs="Times New Roman"/>
          <w:lang w:val="es-ES_tradnl"/>
        </w:rPr>
        <w:t>Ensaios</w:t>
      </w:r>
      <w:proofErr w:type="spellEnd"/>
      <w:r>
        <w:rPr>
          <w:rFonts w:ascii="ATRotisSemiSans" w:hAnsi="ATRotisSemiSans" w:cs="Times New Roman"/>
          <w:lang w:val="es-ES_tradnl"/>
        </w:rPr>
        <w:t xml:space="preserve"> de sociología. 3ed. Rio de Janeiro: </w:t>
      </w:r>
      <w:proofErr w:type="spellStart"/>
      <w:r>
        <w:rPr>
          <w:rFonts w:ascii="ATRotisSemiSans" w:hAnsi="ATRotisSemiSans" w:cs="Times New Roman"/>
          <w:lang w:val="es-ES_tradnl"/>
        </w:rPr>
        <w:t>Zahar</w:t>
      </w:r>
      <w:proofErr w:type="spellEnd"/>
      <w:r>
        <w:rPr>
          <w:rFonts w:ascii="ATRotisSemiSans" w:hAnsi="ATRotisSemiSans" w:cs="Times New Roman"/>
          <w:lang w:val="es-ES_tradnl"/>
        </w:rPr>
        <w:t xml:space="preserve"> Editores.</w:t>
      </w:r>
      <w:r>
        <w:rPr>
          <w:rFonts w:ascii="ATRotisSemiSans" w:hAnsi="ATRotisSemiSans" w:cs="Times New Roman"/>
          <w:lang w:val="es-ES_tradnl"/>
        </w:rPr>
        <w:tab/>
      </w:r>
    </w:p>
    <w:p w:rsidR="00ED2C76" w:rsidRDefault="00ED2C76">
      <w:pPr>
        <w:widowControl/>
        <w:spacing w:after="20"/>
        <w:jc w:val="both"/>
        <w:rPr>
          <w:rFonts w:cs="Times New Roman"/>
          <w:lang w:val="es-ES_tradnl"/>
        </w:rPr>
      </w:pPr>
    </w:p>
    <w:sectPr w:rsidR="00ED2C76">
      <w:type w:val="continuous"/>
      <w:pgSz w:w="11905" w:h="16837"/>
      <w:pgMar w:top="1133" w:right="1133" w:bottom="1133" w:left="1133" w:header="0" w:footer="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RotisSemi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singleLevel"/>
    <w:tmpl w:val="0000040E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400"/>
    <w:multiLevelType w:val="singleLevel"/>
    <w:tmpl w:val="0000040C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44C"/>
    <w:multiLevelType w:val="singleLevel"/>
    <w:tmpl w:val="0000040D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7D59"/>
    <w:rsid w:val="00A77D59"/>
    <w:rsid w:val="00E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Normal0">
    <w:name w:val="_Normal"/>
    <w:basedOn w:val="Normal"/>
    <w:uiPriority w:val="99"/>
    <w:pPr>
      <w:spacing w:after="40"/>
      <w:jc w:val="right"/>
    </w:pPr>
    <w:rPr>
      <w:rFonts w:cs="Times New Roman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Heading2">
    <w:name w:val="Heading 2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Heading4">
    <w:name w:val="Heading 4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9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Heading1">
    <w:name w:val="Heading 1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customStyle="1" w:styleId="FootnoteText">
    <w:name w:val="Footnote Text"/>
    <w:basedOn w:val="Normal"/>
    <w:uiPriority w:val="99"/>
    <w:rPr>
      <w:rFonts w:cs="Times New Roman"/>
      <w:sz w:val="20"/>
      <w:szCs w:val="20"/>
    </w:rPr>
  </w:style>
  <w:style w:type="paragraph" w:customStyle="1" w:styleId="Heading3">
    <w:name w:val="Heading 3"/>
    <w:basedOn w:val="Normal"/>
    <w:next w:val="Normal"/>
    <w:uiPriority w:val="99"/>
    <w:pPr>
      <w:spacing w:before="440" w:after="60"/>
    </w:pPr>
    <w:rPr>
      <w:rFonts w:ascii="Liberation Sans" w:hAnsi="Liberation Sans" w:cs="Liberation Sans"/>
      <w:b/>
      <w:bCs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styleId="Textodebloque">
    <w:name w:val="Block Text"/>
    <w:basedOn w:val="Normal"/>
    <w:uiPriority w:val="99"/>
    <w:pPr>
      <w:spacing w:after="119"/>
      <w:ind w:left="1440" w:right="1440"/>
    </w:pPr>
    <w:rPr>
      <w:rFonts w:cs="Times New Roman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styleId="Prrafodelista">
    <w:name w:val="List Paragraph"/>
    <w:basedOn w:val="Normal0"/>
    <w:uiPriority w:val="99"/>
    <w:qFormat/>
    <w:pPr>
      <w:spacing w:after="0"/>
      <w:ind w:left="720"/>
      <w:jc w:val="left"/>
    </w:pPr>
    <w:rPr>
      <w:sz w:val="24"/>
      <w:szCs w:val="24"/>
      <w:lang w:val="es-AR"/>
    </w:rPr>
  </w:style>
  <w:style w:type="paragraph" w:customStyle="1" w:styleId="Endnote">
    <w:name w:val="Endnote"/>
    <w:basedOn w:val="Normal"/>
    <w:uiPriority w:val="99"/>
    <w:pPr>
      <w:ind w:left="288" w:hanging="288"/>
    </w:pPr>
    <w:rPr>
      <w:rFonts w:cs="Times New Roman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Calibri" w:hAnsi="Calibri" w:cs="Times New Roman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ind w:left="720" w:hanging="430"/>
    </w:pPr>
    <w:rPr>
      <w:rFonts w:cs="Times New Roman"/>
    </w:rPr>
  </w:style>
  <w:style w:type="character" w:customStyle="1" w:styleId="FootnoteReference">
    <w:name w:val="Footnote Reference"/>
    <w:uiPriority w:val="99"/>
    <w:rPr>
      <w:sz w:val="20"/>
      <w:szCs w:val="20"/>
      <w:vertAlign w:val="superscript"/>
    </w:rPr>
  </w:style>
  <w:style w:type="paragraph" w:customStyle="1" w:styleId="EndnoteText">
    <w:name w:val="Endnote Text"/>
    <w:basedOn w:val="Normal"/>
    <w:uiPriority w:val="99"/>
    <w:rPr>
      <w:rFonts w:cs="Times New Roman"/>
    </w:rPr>
  </w:style>
  <w:style w:type="character" w:customStyle="1" w:styleId="EndnoteReference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</w:pPr>
    <w:rPr>
      <w:rFonts w:ascii="Calibri" w:hAnsi="Calibri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</w:pPr>
    <w:rPr>
      <w:rFonts w:ascii="Calibri" w:hAnsi="Calibri" w:cs="Times New Roman"/>
      <w:b w:val="0"/>
      <w:bCs w:val="0"/>
    </w:rPr>
  </w:style>
  <w:style w:type="paragraph" w:customStyle="1" w:styleId="Footnote">
    <w:name w:val="Footnote"/>
    <w:basedOn w:val="Normal"/>
    <w:uiPriority w:val="99"/>
    <w:pPr>
      <w:ind w:left="288" w:hanging="288"/>
    </w:pPr>
    <w:rPr>
      <w:rFonts w:cs="Times New Roman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ind w:left="720" w:hanging="430"/>
    </w:pPr>
    <w:rPr>
      <w:rFonts w:cs="Times New Roman"/>
    </w:rPr>
  </w:style>
  <w:style w:type="paragraph" w:customStyle="1" w:styleId="Contents2">
    <w:name w:val="Contents 2"/>
    <w:basedOn w:val="Normal"/>
    <w:next w:val="Normal"/>
    <w:uiPriority w:val="99"/>
    <w:pPr>
      <w:ind w:left="1440" w:hanging="430"/>
    </w:pPr>
    <w:rPr>
      <w:rFonts w:cs="Times New Roman"/>
    </w:rPr>
  </w:style>
  <w:style w:type="paragraph" w:customStyle="1" w:styleId="Contents3">
    <w:name w:val="Contents 3"/>
    <w:basedOn w:val="Normal"/>
    <w:next w:val="Normal"/>
    <w:uiPriority w:val="99"/>
    <w:pPr>
      <w:ind w:left="2160" w:hanging="430"/>
    </w:pPr>
    <w:rPr>
      <w:rFonts w:cs="Times New Roman"/>
    </w:rPr>
  </w:style>
  <w:style w:type="paragraph" w:customStyle="1" w:styleId="Contents4">
    <w:name w:val="Contents 4"/>
    <w:basedOn w:val="Normal"/>
    <w:next w:val="Normal"/>
    <w:uiPriority w:val="99"/>
    <w:pPr>
      <w:ind w:left="2880" w:hanging="43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msci.org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1323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SECUNDARIA</cp:lastModifiedBy>
  <cp:revision>2</cp:revision>
  <dcterms:created xsi:type="dcterms:W3CDTF">2017-04-10T20:43:00Z</dcterms:created>
  <dcterms:modified xsi:type="dcterms:W3CDTF">2017-04-10T20:43:00Z</dcterms:modified>
</cp:coreProperties>
</file>