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A" w:rsidRDefault="004733CA" w:rsidP="004733C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Colegio San Ladislao    2019                               </w:t>
      </w:r>
    </w:p>
    <w:p w:rsidR="004733CA" w:rsidRDefault="004733CA" w:rsidP="004733C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Profesor: Juan Emilio </w:t>
      </w:r>
      <w:proofErr w:type="spellStart"/>
      <w:r>
        <w:rPr>
          <w:b/>
          <w:bCs/>
          <w:sz w:val="28"/>
          <w:szCs w:val="28"/>
        </w:rPr>
        <w:t>Satorre</w:t>
      </w:r>
      <w:proofErr w:type="spellEnd"/>
    </w:p>
    <w:p w:rsidR="004733CA" w:rsidRDefault="004733CA" w:rsidP="004733CA">
      <w:pPr>
        <w:autoSpaceDE w:val="0"/>
        <w:spacing w:line="360" w:lineRule="auto"/>
        <w:jc w:val="both"/>
        <w:rPr>
          <w:rFonts w:eastAsia="ATRotisSemiSans" w:cs="ATRotisSemiSans"/>
          <w:b/>
          <w:bCs/>
        </w:rPr>
      </w:pPr>
    </w:p>
    <w:p w:rsidR="004733CA" w:rsidRDefault="004733CA" w:rsidP="004733CA">
      <w:pPr>
        <w:autoSpaceDE w:val="0"/>
        <w:spacing w:line="360" w:lineRule="auto"/>
        <w:jc w:val="both"/>
        <w:rPr>
          <w:rFonts w:eastAsia="ATRotisSemiSans" w:cs="ATRotisSemiSans"/>
          <w:b/>
          <w:bCs/>
        </w:rPr>
      </w:pPr>
      <w:r>
        <w:rPr>
          <w:rFonts w:eastAsia="ATRotisSemiSans" w:cs="ATRotisSemiSans"/>
          <w:b/>
          <w:bCs/>
        </w:rPr>
        <w:t>Programa Observatorio de comunicación, cultura y sociedad</w:t>
      </w:r>
    </w:p>
    <w:p w:rsidR="004733CA" w:rsidRDefault="004733CA" w:rsidP="004733CA">
      <w:pPr>
        <w:autoSpaceDE w:val="0"/>
        <w:spacing w:line="360" w:lineRule="auto"/>
        <w:jc w:val="both"/>
        <w:rPr>
          <w:rFonts w:eastAsia="ATRotisSemiSans" w:cs="ATRotisSemiSans"/>
        </w:rPr>
      </w:pPr>
    </w:p>
    <w:p w:rsidR="004733CA" w:rsidRDefault="004733CA" w:rsidP="004733CA">
      <w:pPr>
        <w:autoSpaceDE w:val="0"/>
        <w:spacing w:line="360" w:lineRule="auto"/>
        <w:jc w:val="both"/>
        <w:rPr>
          <w:rFonts w:eastAsia="ATRotisSemiSans" w:cs="ATRotisSemiSans"/>
        </w:rPr>
      </w:pPr>
      <w:r>
        <w:rPr>
          <w:rFonts w:eastAsia="ATRotisSemiSans" w:cs="ATRotisSemiSans"/>
        </w:rPr>
        <w:t>En base a la división de la materia en unidades, se trabajara con los alumnos de a dos a tres unidades por Trimestre. Privilegiando la participación de los alumnos en la temática con el acompañamiento teórico de autores reconocidos en la ciencias sociales.</w:t>
      </w:r>
      <w:r w:rsidR="001827C0">
        <w:rPr>
          <w:rFonts w:eastAsia="ATRotisSemiSans" w:cs="ATRotisSemiSans"/>
        </w:rPr>
        <w:t xml:space="preserve"> Se proyectará</w:t>
      </w:r>
      <w:r>
        <w:rPr>
          <w:rFonts w:eastAsia="ATRotisSemiSans" w:cs="ATRotisSemiSans"/>
        </w:rPr>
        <w:t xml:space="preserve"> una película por unidad para usar como disparador para las temáticas de </w:t>
      </w:r>
      <w:proofErr w:type="gramStart"/>
      <w:r>
        <w:rPr>
          <w:rFonts w:eastAsia="ATRotisSemiSans" w:cs="ATRotisSemiSans"/>
        </w:rPr>
        <w:t>la mismas</w:t>
      </w:r>
      <w:proofErr w:type="gramEnd"/>
      <w:r>
        <w:rPr>
          <w:rFonts w:eastAsia="ATRotisSemiSans" w:cs="ATRotisSemiSans"/>
        </w:rPr>
        <w:t>.</w:t>
      </w:r>
    </w:p>
    <w:p w:rsidR="004733CA" w:rsidRDefault="004733CA" w:rsidP="004733CA">
      <w:pPr>
        <w:autoSpaceDE w:val="0"/>
        <w:spacing w:line="360" w:lineRule="auto"/>
        <w:jc w:val="both"/>
        <w:rPr>
          <w:rFonts w:eastAsia="ATRotisSemiSans" w:cs="ATRotisSemiSans"/>
        </w:rPr>
      </w:pPr>
    </w:p>
    <w:p w:rsidR="004733CA" w:rsidRDefault="004733CA" w:rsidP="004733CA">
      <w:pPr>
        <w:autoSpaceDE w:val="0"/>
        <w:spacing w:line="360" w:lineRule="auto"/>
        <w:jc w:val="both"/>
        <w:rPr>
          <w:rFonts w:eastAsia="ATRotisSemiSerif-Bold-SC700" w:cs="ATRotisSemiSerif-Bold-SC700"/>
          <w:b/>
          <w:bCs/>
        </w:rPr>
      </w:pPr>
      <w:r>
        <w:rPr>
          <w:rFonts w:eastAsia="ATRotisSemiSerif-Bold-SC700" w:cs="ATRotisSemiSerif-Bold-SC700"/>
          <w:b/>
          <w:bCs/>
          <w:i/>
          <w:iCs/>
          <w:sz w:val="28"/>
          <w:szCs w:val="28"/>
        </w:rPr>
        <w:t>U</w:t>
      </w:r>
      <w:r>
        <w:rPr>
          <w:rFonts w:eastAsia="ATRotisSemiSerif-Bold-SC700" w:cs="ATRotisSemiSerif-Bold-SC700"/>
          <w:b/>
          <w:bCs/>
          <w:i/>
          <w:iCs/>
          <w:sz w:val="20"/>
          <w:szCs w:val="20"/>
        </w:rPr>
        <w:t xml:space="preserve">nidad </w:t>
      </w:r>
      <w:r>
        <w:rPr>
          <w:rFonts w:eastAsia="ATRotisSemiSerif-Bold-SC700" w:cs="ATRotisSemiSerif-Bold-SC700"/>
          <w:b/>
          <w:bCs/>
          <w:i/>
          <w:iCs/>
          <w:sz w:val="28"/>
          <w:szCs w:val="28"/>
        </w:rPr>
        <w:t xml:space="preserve">1.  </w:t>
      </w:r>
      <w:r>
        <w:rPr>
          <w:rFonts w:eastAsia="ATRotisSemiSerif-Bold-SC700" w:cs="ATRotisSemiSerif-Bold-SC700"/>
          <w:b/>
          <w:bCs/>
        </w:rPr>
        <w:t xml:space="preserve">Modos de organización social. </w:t>
      </w:r>
    </w:p>
    <w:p w:rsidR="004733CA" w:rsidRPr="001827C0" w:rsidRDefault="004733CA" w:rsidP="001827C0">
      <w:pPr>
        <w:autoSpaceDE w:val="0"/>
        <w:spacing w:line="360" w:lineRule="auto"/>
        <w:jc w:val="both"/>
        <w:rPr>
          <w:rFonts w:eastAsia="ATRotisSemiSerif-Bold-SC700" w:cs="ATRotisSemiSerif-Bold-SC700"/>
        </w:rPr>
      </w:pPr>
      <w:r w:rsidRPr="001827C0">
        <w:rPr>
          <w:rFonts w:eastAsia="ATRotisSemiSerif-Bold-SC700" w:cs="ATRotisSemiSerif-Bold-SC700"/>
        </w:rPr>
        <w:t xml:space="preserve">Cultura: Definición </w:t>
      </w:r>
      <w:proofErr w:type="spellStart"/>
      <w:r w:rsidRPr="001827C0">
        <w:rPr>
          <w:rFonts w:eastAsia="ATRotisSemiSerif-Bold-SC700" w:cs="ATRotisSemiSerif-Bold-SC700"/>
        </w:rPr>
        <w:t>Clifford</w:t>
      </w:r>
      <w:proofErr w:type="spellEnd"/>
      <w:r w:rsidRPr="001827C0">
        <w:rPr>
          <w:rFonts w:eastAsia="ATRotisSemiSerif-Bold-SC700" w:cs="ATRotisSemiSerif-Bold-SC700"/>
        </w:rPr>
        <w:t xml:space="preserve"> </w:t>
      </w:r>
      <w:proofErr w:type="spellStart"/>
      <w:r w:rsidRPr="001827C0">
        <w:rPr>
          <w:rFonts w:eastAsia="ATRotisSemiSerif-Bold-SC700" w:cs="ATRotisSemiSerif-Bold-SC700"/>
        </w:rPr>
        <w:t>Geertz</w:t>
      </w:r>
      <w:proofErr w:type="spellEnd"/>
      <w:r w:rsidRPr="001827C0">
        <w:rPr>
          <w:rFonts w:eastAsia="ATRotisSemiSerif-Bold-SC700" w:cs="ATRotisSemiSerif-Bold-SC700"/>
        </w:rPr>
        <w:t xml:space="preserve"> </w:t>
      </w:r>
    </w:p>
    <w:p w:rsidR="004733CA" w:rsidRPr="001827C0" w:rsidRDefault="004733CA" w:rsidP="001827C0">
      <w:pPr>
        <w:pStyle w:val="Prrafodelista"/>
        <w:numPr>
          <w:ilvl w:val="0"/>
          <w:numId w:val="3"/>
        </w:numPr>
        <w:autoSpaceDE w:val="0"/>
        <w:spacing w:line="360" w:lineRule="auto"/>
        <w:jc w:val="both"/>
        <w:rPr>
          <w:rFonts w:eastAsia="ATRotisSemiSerif-Bold-SC700" w:cs="ATRotisSemiSerif-Bold-SC700"/>
        </w:rPr>
      </w:pPr>
      <w:r w:rsidRPr="001827C0">
        <w:rPr>
          <w:rFonts w:eastAsia="ATRotisSemiSerif-Bold-SC700" w:cs="ATRotisSemiSerif-Bold-SC700"/>
        </w:rPr>
        <w:t>Antropología simbólica.</w:t>
      </w:r>
    </w:p>
    <w:p w:rsidR="004733CA" w:rsidRPr="001827C0" w:rsidRDefault="004733CA" w:rsidP="001827C0">
      <w:pPr>
        <w:pStyle w:val="Prrafodelista"/>
        <w:numPr>
          <w:ilvl w:val="0"/>
          <w:numId w:val="3"/>
        </w:numPr>
        <w:autoSpaceDE w:val="0"/>
        <w:spacing w:line="360" w:lineRule="auto"/>
        <w:jc w:val="both"/>
        <w:rPr>
          <w:rFonts w:eastAsia="ATRotisSemiSerif-Bold-SC700" w:cs="ATRotisSemiSerif-Bold-SC700"/>
        </w:rPr>
      </w:pPr>
      <w:r w:rsidRPr="001827C0">
        <w:rPr>
          <w:rFonts w:eastAsia="ATRotisSemiSerif-Bold-SC700" w:cs="ATRotisSemiSerif-Bold-SC700"/>
        </w:rPr>
        <w:t>El ser humano como creador de Cultura</w:t>
      </w:r>
    </w:p>
    <w:p w:rsidR="004733CA" w:rsidRPr="001827C0" w:rsidRDefault="004733CA" w:rsidP="001827C0">
      <w:pPr>
        <w:pStyle w:val="Prrafodelista"/>
        <w:numPr>
          <w:ilvl w:val="0"/>
          <w:numId w:val="3"/>
        </w:numPr>
        <w:autoSpaceDE w:val="0"/>
        <w:spacing w:line="360" w:lineRule="auto"/>
        <w:jc w:val="both"/>
        <w:rPr>
          <w:rFonts w:eastAsia="ATRotisSemiSerif-Bold-SC700" w:cs="ATRotisSemiSerif-Bold-SC700"/>
        </w:rPr>
      </w:pPr>
      <w:r w:rsidRPr="001827C0">
        <w:rPr>
          <w:rFonts w:eastAsia="ATRotisSemiSerif-Bold-SC700" w:cs="ATRotisSemiSerif-Bold-SC700"/>
        </w:rPr>
        <w:t>Practicas político culturales: Grupos ecologistas</w:t>
      </w:r>
    </w:p>
    <w:p w:rsidR="004733CA" w:rsidRPr="001827C0" w:rsidRDefault="004733CA" w:rsidP="001827C0">
      <w:pPr>
        <w:pStyle w:val="Prrafodelista"/>
        <w:numPr>
          <w:ilvl w:val="0"/>
          <w:numId w:val="3"/>
        </w:numPr>
        <w:autoSpaceDE w:val="0"/>
        <w:spacing w:line="360" w:lineRule="auto"/>
        <w:jc w:val="both"/>
        <w:rPr>
          <w:rFonts w:eastAsia="ATRotisSemiSerif-Bold-SC700" w:cs="ATRotisSemiSerif-Bold-SC700"/>
        </w:rPr>
      </w:pPr>
      <w:r w:rsidRPr="001827C0">
        <w:rPr>
          <w:rFonts w:eastAsia="ATRotisSemiSerif-Bold-SC700" w:cs="ATRotisSemiSerif-Bold-SC700"/>
        </w:rPr>
        <w:t xml:space="preserve">Comunicación: Modelo Lineal, comunicación como una relación </w:t>
      </w:r>
    </w:p>
    <w:p w:rsidR="004733CA" w:rsidRPr="001827C0" w:rsidRDefault="004733CA" w:rsidP="001827C0">
      <w:pPr>
        <w:pStyle w:val="Prrafodelista"/>
        <w:numPr>
          <w:ilvl w:val="0"/>
          <w:numId w:val="3"/>
        </w:numPr>
        <w:autoSpaceDE w:val="0"/>
        <w:spacing w:line="360" w:lineRule="auto"/>
        <w:jc w:val="both"/>
        <w:rPr>
          <w:rFonts w:eastAsia="ATRotisSemiSerif-Bold-SC700" w:cs="ATRotisSemiSerif-Bold-SC700"/>
        </w:rPr>
      </w:pPr>
      <w:r w:rsidRPr="001827C0">
        <w:rPr>
          <w:rFonts w:eastAsia="ATRotisSemiSerif-Bold-SC700" w:cs="ATRotisSemiSerif-Bold-SC700"/>
        </w:rPr>
        <w:t>Sociedad, ¿Qué es? Comunidad regulada. Normas y Leyes.</w:t>
      </w:r>
    </w:p>
    <w:p w:rsidR="004733CA" w:rsidRDefault="004733CA" w:rsidP="004733CA">
      <w:pPr>
        <w:autoSpaceDE w:val="0"/>
        <w:spacing w:line="360" w:lineRule="auto"/>
        <w:jc w:val="both"/>
        <w:rPr>
          <w:rFonts w:eastAsia="ATRotisSemiSerif-Bold-SC700" w:cs="ATRotisSemiSerif-Bold-SC700"/>
          <w:b/>
          <w:bCs/>
        </w:rPr>
      </w:pPr>
      <w:r>
        <w:rPr>
          <w:rFonts w:eastAsia="ATRotisSemiSerif-Bold-SC700" w:cs="ATRotisSemiSerif-Bold-SC700"/>
          <w:b/>
          <w:bCs/>
          <w:i/>
          <w:iCs/>
        </w:rPr>
        <w:t xml:space="preserve">. </w:t>
      </w:r>
      <w:r>
        <w:rPr>
          <w:rFonts w:eastAsia="ATRotisSemiSerif-Bold-SC700" w:cs="ATRotisSemiSerif-Bold-SC700"/>
        </w:rPr>
        <w:t xml:space="preserve"> </w:t>
      </w:r>
      <w:r>
        <w:rPr>
          <w:rFonts w:eastAsia="ATRotisSemiSerif-Bold-SC700" w:cs="ATRotisSemiSerif-Bold-SC700"/>
          <w:b/>
          <w:bCs/>
        </w:rPr>
        <w:t>Cultura y comunicación en la Vida Cotidiana</w:t>
      </w:r>
    </w:p>
    <w:p w:rsidR="004733CA" w:rsidRDefault="004733CA" w:rsidP="004733CA">
      <w:pPr>
        <w:autoSpaceDE w:val="0"/>
        <w:spacing w:line="360" w:lineRule="auto"/>
        <w:jc w:val="both"/>
        <w:rPr>
          <w:rFonts w:eastAsia="ATRotisSemiSerif-Bold-SC700" w:cs="ATRotisSemiSerif-Bold-SC700"/>
        </w:rPr>
      </w:pPr>
      <w:r>
        <w:rPr>
          <w:rFonts w:eastAsia="ATRotisSemiSerif-Bold-SC700" w:cs="ATRotisSemiSerif-Bold-SC700"/>
        </w:rPr>
        <w:t>Símbolos, icono e índice. Saussure Significante y significado</w:t>
      </w:r>
    </w:p>
    <w:p w:rsidR="004733CA" w:rsidRDefault="004733CA" w:rsidP="004733CA">
      <w:pPr>
        <w:autoSpaceDE w:val="0"/>
        <w:spacing w:line="360" w:lineRule="auto"/>
        <w:jc w:val="both"/>
        <w:rPr>
          <w:rFonts w:eastAsia="ATRotisSemiSerif-Bold-SC700" w:cs="ATRotisSemiSerif-Bold-SC700"/>
        </w:rPr>
      </w:pPr>
      <w:r>
        <w:rPr>
          <w:rFonts w:eastAsia="ATRotisSemiSerif-Bold-SC700" w:cs="ATRotisSemiSerif-Bold-SC700"/>
        </w:rPr>
        <w:t xml:space="preserve">Identidades Juveniles, Tribus urbanas. </w:t>
      </w:r>
    </w:p>
    <w:p w:rsidR="004733CA" w:rsidRDefault="004733CA" w:rsidP="004733CA">
      <w:pPr>
        <w:autoSpaceDE w:val="0"/>
        <w:spacing w:line="360" w:lineRule="auto"/>
        <w:jc w:val="both"/>
        <w:rPr>
          <w:rFonts w:eastAsia="ATRotisSemiSerif-Bold-SC700" w:cs="ATRotisSemiSerif-Bold-SC700"/>
        </w:rPr>
      </w:pPr>
      <w:r>
        <w:rPr>
          <w:rFonts w:eastAsia="ATRotisSemiSerif-Bold-SC700" w:cs="ATRotisSemiSerif-Bold-SC700"/>
        </w:rPr>
        <w:t>Formas de distinción social (</w:t>
      </w:r>
      <w:proofErr w:type="spellStart"/>
      <w:r>
        <w:rPr>
          <w:rFonts w:eastAsia="ATRotisSemiSerif-Bold-SC700" w:cs="ATRotisSemiSerif-Bold-SC700"/>
        </w:rPr>
        <w:t>Bourdie</w:t>
      </w:r>
      <w:proofErr w:type="spellEnd"/>
      <w:r>
        <w:rPr>
          <w:rFonts w:eastAsia="ATRotisSemiSerif-Bold-SC700" w:cs="ATRotisSemiSerif-Bold-SC700"/>
        </w:rPr>
        <w:t>). Otredad (</w:t>
      </w:r>
      <w:proofErr w:type="spellStart"/>
      <w:r>
        <w:rPr>
          <w:rFonts w:eastAsia="ATRotisSemiSerif-Bold-SC700" w:cs="ATRotisSemiSerif-Bold-SC700"/>
        </w:rPr>
        <w:t>Todorov</w:t>
      </w:r>
      <w:proofErr w:type="spellEnd"/>
      <w:r>
        <w:rPr>
          <w:rFonts w:eastAsia="ATRotisSemiSerif-Bold-SC700" w:cs="ATRotisSemiSerif-Bold-SC700"/>
        </w:rPr>
        <w:t>)</w:t>
      </w:r>
    </w:p>
    <w:p w:rsidR="004733CA" w:rsidRDefault="004733CA" w:rsidP="004733CA">
      <w:pPr>
        <w:autoSpaceDE w:val="0"/>
        <w:spacing w:line="360" w:lineRule="auto"/>
        <w:jc w:val="both"/>
        <w:rPr>
          <w:rFonts w:eastAsia="ATRotisSemiSerif-Bold-SC700" w:cs="ATRotisSemiSerif-Bold-SC700"/>
          <w:b/>
          <w:bCs/>
          <w:i/>
          <w:iCs/>
        </w:rPr>
      </w:pPr>
    </w:p>
    <w:p w:rsidR="004733CA" w:rsidRDefault="004733CA" w:rsidP="004733CA">
      <w:pPr>
        <w:autoSpaceDE w:val="0"/>
        <w:spacing w:line="360" w:lineRule="auto"/>
        <w:jc w:val="both"/>
        <w:rPr>
          <w:rFonts w:eastAsia="ATRotisSemiSerif-Bold-SC700" w:cs="ATRotisSemiSerif-Bold-SC700"/>
          <w:b/>
          <w:bCs/>
        </w:rPr>
      </w:pPr>
      <w:r>
        <w:rPr>
          <w:rFonts w:eastAsia="ATRotisSemiSerif-Bold-SC700" w:cs="ATRotisSemiSerif-Bold-SC700"/>
          <w:b/>
          <w:bCs/>
          <w:i/>
          <w:iCs/>
        </w:rPr>
        <w:t xml:space="preserve">Unidad 2. </w:t>
      </w:r>
      <w:r>
        <w:rPr>
          <w:rFonts w:eastAsia="ATRotisSemiSerif-Bold-SC700" w:cs="ATRotisSemiSerif-Bold-SC700"/>
          <w:b/>
          <w:bCs/>
        </w:rPr>
        <w:t>Identidades de género y modelos mediáticos</w:t>
      </w:r>
    </w:p>
    <w:p w:rsidR="004733CA" w:rsidRDefault="004733CA" w:rsidP="004733CA">
      <w:pPr>
        <w:autoSpaceDE w:val="0"/>
        <w:spacing w:line="360" w:lineRule="auto"/>
        <w:jc w:val="both"/>
        <w:rPr>
          <w:rFonts w:eastAsia="ATRotisSemiSans" w:cs="ATRotisSemiSans"/>
        </w:rPr>
      </w:pPr>
      <w:r>
        <w:rPr>
          <w:rFonts w:eastAsia="ATRotisSemiSans" w:cs="ATRotisSemiSans"/>
        </w:rPr>
        <w:t xml:space="preserve">-Moda, publicidad, identidades étnicas. </w:t>
      </w:r>
      <w:proofErr w:type="spellStart"/>
      <w:r>
        <w:rPr>
          <w:rFonts w:eastAsia="ATRotisSemiSans" w:cs="ATRotisSemiSans"/>
        </w:rPr>
        <w:t>Margulis</w:t>
      </w:r>
      <w:proofErr w:type="spellEnd"/>
      <w:r>
        <w:rPr>
          <w:rFonts w:eastAsia="ATRotisSemiSans" w:cs="ATRotisSemiSans"/>
        </w:rPr>
        <w:t xml:space="preserve">. </w:t>
      </w:r>
    </w:p>
    <w:p w:rsidR="004733CA" w:rsidRDefault="004733CA" w:rsidP="004733CA">
      <w:pPr>
        <w:autoSpaceDE w:val="0"/>
        <w:spacing w:line="360" w:lineRule="auto"/>
        <w:jc w:val="both"/>
        <w:rPr>
          <w:rFonts w:eastAsia="ATRotisSemiSans" w:cs="ATRotisSemiSans"/>
        </w:rPr>
      </w:pPr>
      <w:r>
        <w:rPr>
          <w:rFonts w:eastAsia="ATRotisSemiSans" w:cs="ATRotisSemiSans"/>
        </w:rPr>
        <w:t xml:space="preserve">-Campañas publicitarias </w:t>
      </w:r>
      <w:proofErr w:type="spellStart"/>
      <w:r>
        <w:rPr>
          <w:rFonts w:eastAsia="ATRotisSemiSans" w:cs="ATRotisSemiSans"/>
        </w:rPr>
        <w:t>Noemi</w:t>
      </w:r>
      <w:proofErr w:type="spellEnd"/>
      <w:r>
        <w:rPr>
          <w:rFonts w:eastAsia="ATRotisSemiSans" w:cs="ATRotisSemiSans"/>
        </w:rPr>
        <w:t xml:space="preserve"> Klein.</w:t>
      </w:r>
    </w:p>
    <w:p w:rsidR="004733CA" w:rsidRDefault="004733CA" w:rsidP="004733CA">
      <w:pPr>
        <w:autoSpaceDE w:val="0"/>
        <w:spacing w:line="360" w:lineRule="auto"/>
        <w:jc w:val="both"/>
        <w:rPr>
          <w:rFonts w:eastAsia="ATRotisSemiSans" w:cs="ATRotisSemiSans"/>
        </w:rPr>
      </w:pPr>
      <w:r>
        <w:rPr>
          <w:rFonts w:eastAsia="ATRotisSemiSans" w:cs="ATRotisSemiSans"/>
        </w:rPr>
        <w:t>-Historia de la publicidad</w:t>
      </w:r>
    </w:p>
    <w:p w:rsidR="004733CA" w:rsidRDefault="004733CA" w:rsidP="004733CA">
      <w:pPr>
        <w:autoSpaceDE w:val="0"/>
        <w:spacing w:line="360" w:lineRule="auto"/>
        <w:jc w:val="both"/>
        <w:rPr>
          <w:rFonts w:eastAsia="ATRotisSemiSans" w:cs="ATRotisSemiSans"/>
        </w:rPr>
      </w:pPr>
      <w:r>
        <w:rPr>
          <w:rFonts w:eastAsia="ATRotisSemiSans" w:cs="ATRotisSemiSans"/>
        </w:rPr>
        <w:t xml:space="preserve">-Grupos </w:t>
      </w:r>
      <w:proofErr w:type="spellStart"/>
      <w:r>
        <w:rPr>
          <w:rFonts w:eastAsia="ATRotisSemiSans" w:cs="ATRotisSemiSans"/>
        </w:rPr>
        <w:t>Identitarios</w:t>
      </w:r>
      <w:proofErr w:type="spellEnd"/>
    </w:p>
    <w:p w:rsidR="004733CA" w:rsidRDefault="004733CA" w:rsidP="004733CA">
      <w:pPr>
        <w:autoSpaceDE w:val="0"/>
        <w:spacing w:line="360" w:lineRule="auto"/>
        <w:jc w:val="both"/>
        <w:rPr>
          <w:rFonts w:eastAsia="ATRotisSemiSerif-Bold-SC700" w:cs="ATRotisSemiSerif-Bold-SC700"/>
          <w:b/>
          <w:bCs/>
        </w:rPr>
      </w:pPr>
    </w:p>
    <w:p w:rsidR="004733CA" w:rsidRDefault="004733CA" w:rsidP="004733CA">
      <w:pPr>
        <w:autoSpaceDE w:val="0"/>
        <w:spacing w:line="360" w:lineRule="auto"/>
        <w:jc w:val="both"/>
        <w:rPr>
          <w:rFonts w:eastAsia="ATRotisSemiSerif-Bold-SC700" w:cs="ATRotisSemiSerif-Bold-SC700"/>
        </w:rPr>
      </w:pPr>
      <w:r>
        <w:rPr>
          <w:rFonts w:eastAsia="ATRotisSemiSerif-Bold-SC700" w:cs="ATRotisSemiSerif-Bold-SC700"/>
          <w:b/>
          <w:bCs/>
          <w:sz w:val="28"/>
          <w:szCs w:val="28"/>
        </w:rPr>
        <w:t>U</w:t>
      </w:r>
      <w:r>
        <w:rPr>
          <w:rFonts w:eastAsia="ATRotisSemiSerif-Bold-SC700" w:cs="ATRotisSemiSerif-Bold-SC700"/>
          <w:b/>
          <w:bCs/>
          <w:sz w:val="20"/>
          <w:szCs w:val="20"/>
        </w:rPr>
        <w:t xml:space="preserve">nidad </w:t>
      </w:r>
      <w:r>
        <w:rPr>
          <w:rFonts w:eastAsia="ATRotisSemiSerif-Bold-SC700" w:cs="ATRotisSemiSerif-Bold-SC700"/>
          <w:b/>
          <w:bCs/>
          <w:sz w:val="28"/>
          <w:szCs w:val="28"/>
        </w:rPr>
        <w:t xml:space="preserve">3 </w:t>
      </w:r>
      <w:r>
        <w:rPr>
          <w:rFonts w:eastAsia="ATRotisSemiSerif-Bold-SC700" w:cs="ATRotisSemiSerif-Bold-SC700"/>
        </w:rPr>
        <w:t>Mediaciones Tecnológicas</w:t>
      </w:r>
    </w:p>
    <w:p w:rsidR="004733CA" w:rsidRDefault="004733CA" w:rsidP="004733CA">
      <w:pPr>
        <w:autoSpaceDE w:val="0"/>
        <w:spacing w:line="360" w:lineRule="auto"/>
        <w:jc w:val="both"/>
        <w:rPr>
          <w:rFonts w:eastAsia="ATRotisSemiSerif-Bold-SC700" w:cs="ATRotisSemiSerif-Bold-SC700"/>
        </w:rPr>
      </w:pPr>
      <w:r>
        <w:rPr>
          <w:rFonts w:eastAsia="ATRotisSemiSerif-Bold-SC700" w:cs="ATRotisSemiSerif-Bold-SC700"/>
        </w:rPr>
        <w:t xml:space="preserve">-Revolución Tecnológica. </w:t>
      </w:r>
      <w:proofErr w:type="spellStart"/>
      <w:r>
        <w:rPr>
          <w:rFonts w:eastAsia="ATRotisSemiSerif-Bold-SC700" w:cs="ATRotisSemiSerif-Bold-SC700"/>
        </w:rPr>
        <w:t>Facebook</w:t>
      </w:r>
      <w:proofErr w:type="spellEnd"/>
      <w:r>
        <w:rPr>
          <w:rFonts w:eastAsia="ATRotisSemiSerif-Bold-SC700" w:cs="ATRotisSemiSerif-Bold-SC700"/>
        </w:rPr>
        <w:t xml:space="preserve">, </w:t>
      </w:r>
      <w:proofErr w:type="spellStart"/>
      <w:r>
        <w:rPr>
          <w:rFonts w:eastAsia="ATRotisSemiSerif-Bold-SC700" w:cs="ATRotisSemiSerif-Bold-SC700"/>
        </w:rPr>
        <w:t>twitter</w:t>
      </w:r>
      <w:proofErr w:type="spellEnd"/>
      <w:r>
        <w:rPr>
          <w:rFonts w:eastAsia="ATRotisSemiSerif-Bold-SC700" w:cs="ATRotisSemiSerif-Bold-SC700"/>
        </w:rPr>
        <w:t>. Política 2.0. Educación y tecnología.</w:t>
      </w:r>
    </w:p>
    <w:p w:rsidR="004733CA" w:rsidRDefault="004733CA" w:rsidP="004733CA">
      <w:pPr>
        <w:autoSpaceDE w:val="0"/>
        <w:spacing w:line="360" w:lineRule="auto"/>
        <w:jc w:val="both"/>
        <w:rPr>
          <w:rFonts w:eastAsia="ATRotisSemiSerif-Bold-SC700" w:cs="ATRotisSemiSerif-Bold-SC700"/>
        </w:rPr>
      </w:pPr>
      <w:r>
        <w:rPr>
          <w:rFonts w:eastAsia="ATRotisSemiSerif-Bold-SC700" w:cs="ATRotisSemiSerif-Bold-SC700"/>
        </w:rPr>
        <w:t xml:space="preserve">-Nativos e inmigrantes digitales. A </w:t>
      </w:r>
      <w:proofErr w:type="spellStart"/>
      <w:r>
        <w:rPr>
          <w:rFonts w:eastAsia="ATRotisSemiSerif-Bold-SC700" w:cs="ATRotisSemiSerif-Bold-SC700"/>
        </w:rPr>
        <w:t>Piscitelli</w:t>
      </w:r>
      <w:proofErr w:type="spellEnd"/>
      <w:r>
        <w:rPr>
          <w:rFonts w:eastAsia="ATRotisSemiSerif-Bold-SC700" w:cs="ATRotisSemiSerif-Bold-SC700"/>
        </w:rPr>
        <w:t>.</w:t>
      </w:r>
    </w:p>
    <w:p w:rsidR="004733CA" w:rsidRDefault="004733CA" w:rsidP="004733CA">
      <w:pPr>
        <w:autoSpaceDE w:val="0"/>
        <w:spacing w:line="360" w:lineRule="auto"/>
        <w:jc w:val="both"/>
        <w:rPr>
          <w:rFonts w:eastAsia="ATRotisSemiSerif-Bold-SC700" w:cs="ATRotisSemiSerif-Bold-SC700"/>
        </w:rPr>
      </w:pPr>
      <w:r>
        <w:rPr>
          <w:rFonts w:eastAsia="ATRotisSemiSerif-Bold-SC700" w:cs="ATRotisSemiSerif-Bold-SC700"/>
        </w:rPr>
        <w:t>Nuevos contextos en la comunicación. Cambios acontecidos en los últimos 30 años.</w:t>
      </w:r>
    </w:p>
    <w:p w:rsidR="004733CA" w:rsidRDefault="004733CA" w:rsidP="004733CA">
      <w:pPr>
        <w:autoSpaceDE w:val="0"/>
        <w:spacing w:line="360" w:lineRule="auto"/>
        <w:jc w:val="both"/>
        <w:rPr>
          <w:rFonts w:eastAsia="ATRotisSemiSerif-Bold-SC700" w:cs="ATRotisSemiSerif-Bold-SC700"/>
          <w:i/>
          <w:iCs/>
        </w:rPr>
      </w:pPr>
    </w:p>
    <w:p w:rsidR="004733CA" w:rsidRDefault="004733CA" w:rsidP="004733CA">
      <w:pPr>
        <w:autoSpaceDE w:val="0"/>
        <w:spacing w:line="360" w:lineRule="auto"/>
        <w:jc w:val="both"/>
        <w:rPr>
          <w:rFonts w:eastAsia="ATRotisSemiSans" w:cs="ATRotisSemiSans"/>
        </w:rPr>
      </w:pPr>
    </w:p>
    <w:p w:rsidR="004733CA" w:rsidRDefault="004733CA" w:rsidP="004733CA">
      <w:pPr>
        <w:autoSpaceDE w:val="0"/>
        <w:spacing w:line="360" w:lineRule="auto"/>
        <w:jc w:val="both"/>
        <w:rPr>
          <w:rFonts w:eastAsia="ATRotisSemiSans" w:cs="ATRotisSemiSans"/>
          <w:b/>
          <w:bCs/>
        </w:rPr>
      </w:pPr>
      <w:r>
        <w:rPr>
          <w:rFonts w:eastAsia="ATRotisSemiSans" w:cs="ATRotisSemiSans"/>
          <w:b/>
          <w:bCs/>
        </w:rPr>
        <w:lastRenderedPageBreak/>
        <w:t xml:space="preserve">Criterios de Evaluación: </w:t>
      </w:r>
    </w:p>
    <w:p w:rsidR="004733CA" w:rsidRDefault="004733CA" w:rsidP="004733CA">
      <w:pPr>
        <w:autoSpaceDE w:val="0"/>
        <w:spacing w:line="360" w:lineRule="auto"/>
        <w:jc w:val="both"/>
        <w:rPr>
          <w:rFonts w:eastAsia="ATRotisSemiSans" w:cs="ATRotisSemiSans"/>
        </w:rPr>
      </w:pPr>
    </w:p>
    <w:p w:rsidR="004733CA" w:rsidRDefault="004733CA" w:rsidP="004733CA">
      <w:pPr>
        <w:autoSpaceDE w:val="0"/>
        <w:spacing w:line="360" w:lineRule="auto"/>
        <w:jc w:val="both"/>
        <w:rPr>
          <w:rFonts w:eastAsia="ATRotisSemiSans" w:cs="ATRotisSemiSans"/>
        </w:rPr>
      </w:pPr>
      <w:r>
        <w:rPr>
          <w:rFonts w:eastAsia="ATRotisSemiSans" w:cs="ATRotisSemiSans"/>
        </w:rPr>
        <w:t>La evaluación de la materia se desarrollará a lo largo de todo el año en el marco del acompañamiento, la escucha y el diálogo entre estudiantes-docente, y estudiantes entre sí. Se analizara la responsabilidad de los alumnos y su participación en la clase. A su vez se tomaran dos evaluaciones escritas trimestrales que abordaran tanto los temas de las fotocopias entregadas, como los marcos conceptuales desarrollados durante la clase y su relación con las películas vistas en el transcurso del trimestre.</w:t>
      </w:r>
    </w:p>
    <w:p w:rsidR="004733CA" w:rsidRDefault="004733CA" w:rsidP="004733CA">
      <w:pPr>
        <w:autoSpaceDE w:val="0"/>
        <w:spacing w:line="360" w:lineRule="auto"/>
        <w:jc w:val="both"/>
        <w:rPr>
          <w:rFonts w:eastAsia="ATRotisSemiSans" w:cs="ATRotisSemiSans"/>
        </w:rPr>
      </w:pPr>
    </w:p>
    <w:p w:rsidR="004733CA" w:rsidRDefault="004733CA" w:rsidP="004733CA">
      <w:pPr>
        <w:autoSpaceDE w:val="0"/>
        <w:spacing w:line="360" w:lineRule="auto"/>
        <w:jc w:val="both"/>
        <w:rPr>
          <w:rFonts w:eastAsia="ATRotisSemiSans" w:cs="ATRotisSemiSans"/>
        </w:rPr>
      </w:pPr>
      <w:proofErr w:type="spellStart"/>
      <w:r>
        <w:rPr>
          <w:rFonts w:eastAsia="ATRotisSemiSans" w:cs="ATRotisSemiSans"/>
        </w:rPr>
        <w:t>Lic</w:t>
      </w:r>
      <w:proofErr w:type="spellEnd"/>
      <w:r>
        <w:rPr>
          <w:rFonts w:eastAsia="ATRotisSemiSans" w:cs="ATRotisSemiSans"/>
        </w:rPr>
        <w:t xml:space="preserve"> Juan Emilio </w:t>
      </w:r>
      <w:proofErr w:type="spellStart"/>
      <w:r>
        <w:rPr>
          <w:rFonts w:eastAsia="ATRotisSemiSans" w:cs="ATRotisSemiSans"/>
        </w:rPr>
        <w:t>Satorre</w:t>
      </w:r>
      <w:proofErr w:type="spellEnd"/>
    </w:p>
    <w:p w:rsidR="004733CA" w:rsidRDefault="004733CA" w:rsidP="004733CA">
      <w:pPr>
        <w:autoSpaceDE w:val="0"/>
        <w:rPr>
          <w:rFonts w:eastAsia="ATRotisSemiSans" w:cs="ATRotisSemiSans"/>
        </w:rPr>
      </w:pPr>
    </w:p>
    <w:p w:rsidR="00DD08C6" w:rsidRDefault="00DD08C6"/>
    <w:sectPr w:rsidR="00DD08C6" w:rsidSect="00872186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RotisSemiSerif-Bold-SC700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RotisSemi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4CC60AA"/>
    <w:multiLevelType w:val="hybridMultilevel"/>
    <w:tmpl w:val="30B021CC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0CA1861"/>
    <w:multiLevelType w:val="hybridMultilevel"/>
    <w:tmpl w:val="23E42DFC"/>
    <w:lvl w:ilvl="0" w:tplc="E38040F6">
      <w:numFmt w:val="bullet"/>
      <w:lvlText w:val="-"/>
      <w:lvlJc w:val="left"/>
      <w:pPr>
        <w:ind w:left="405" w:hanging="360"/>
      </w:pPr>
      <w:rPr>
        <w:rFonts w:ascii="Times New Roman" w:eastAsia="ATRotisSemiSerif-Bold-SC700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3CA"/>
    <w:rsid w:val="001827C0"/>
    <w:rsid w:val="004733CA"/>
    <w:rsid w:val="00872186"/>
    <w:rsid w:val="00DD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C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2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Direccion</cp:lastModifiedBy>
  <cp:revision>3</cp:revision>
  <dcterms:created xsi:type="dcterms:W3CDTF">2019-05-29T19:40:00Z</dcterms:created>
  <dcterms:modified xsi:type="dcterms:W3CDTF">2019-07-18T20:03:00Z</dcterms:modified>
</cp:coreProperties>
</file>